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5877" w:type="dxa"/>
        <w:tblInd w:w="-289" w:type="dxa"/>
        <w:tblLook w:val="04A0" w:firstRow="1" w:lastRow="0" w:firstColumn="1" w:lastColumn="0" w:noHBand="0" w:noVBand="1"/>
      </w:tblPr>
      <w:tblGrid>
        <w:gridCol w:w="1702"/>
        <w:gridCol w:w="3685"/>
        <w:gridCol w:w="3686"/>
        <w:gridCol w:w="3544"/>
        <w:gridCol w:w="3260"/>
      </w:tblGrid>
      <w:tr w:rsidR="00F51311" w:rsidRPr="00F51311" w:rsidTr="00F51311">
        <w:tc>
          <w:tcPr>
            <w:tcW w:w="1702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Critères d'Évaluation</w:t>
            </w:r>
          </w:p>
        </w:tc>
        <w:tc>
          <w:tcPr>
            <w:tcW w:w="3685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 xml:space="preserve">Niveau 4 : </w:t>
            </w: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très bonne maîtrise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5 points</w:t>
            </w:r>
          </w:p>
        </w:tc>
        <w:tc>
          <w:tcPr>
            <w:tcW w:w="3686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 xml:space="preserve">Niveau 3 : </w:t>
            </w: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 xml:space="preserve">bonne maîtrise 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points</w:t>
            </w:r>
          </w:p>
        </w:tc>
        <w:tc>
          <w:tcPr>
            <w:tcW w:w="3544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Niveau 2 : maîtrise satisfaisante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3 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points</w:t>
            </w:r>
          </w:p>
        </w:tc>
        <w:tc>
          <w:tcPr>
            <w:tcW w:w="3260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 xml:space="preserve">Niveau 1 : maîtrise </w:t>
            </w: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insuffisante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0/1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point</w:t>
            </w:r>
          </w:p>
        </w:tc>
      </w:tr>
      <w:tr w:rsidR="00F51311" w:rsidRPr="00F51311" w:rsidTr="00F51311">
        <w:tc>
          <w:tcPr>
            <w:tcW w:w="1702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1. Progression &amp; Finalité du Sentiment</w:t>
            </w:r>
          </w:p>
        </w:tc>
        <w:tc>
          <w:tcPr>
            <w:tcW w:w="3685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Le chemin est clairement progressif</w:t>
            </w: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,</w:t>
            </w: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 d</w:t>
            </w: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 xml:space="preserve">e la première étape </w:t>
            </w: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 xml:space="preserve">à </w:t>
            </w: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une union stable</w:t>
            </w: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 sans incohérences. Le dénouement est atteint.</w:t>
            </w:r>
          </w:p>
        </w:tc>
        <w:tc>
          <w:tcPr>
            <w:tcW w:w="3686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Le chemin est globalement progressif, mais la transition entre certaines étapes est abrupte ou légèrement illogique.</w:t>
            </w:r>
          </w:p>
        </w:tc>
        <w:tc>
          <w:tcPr>
            <w:tcW w:w="3544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La progression s'arrête ou ne mène pas explicitement à l'</w:t>
            </w: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u</w:t>
            </w: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 xml:space="preserve">nion </w:t>
            </w: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s</w:t>
            </w: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table. Des régressions non intentionnelles sont présentes.</w:t>
            </w:r>
          </w:p>
        </w:tc>
        <w:tc>
          <w:tcPr>
            <w:tcW w:w="3260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Le chemin est désorganisé, illogique, ou les étapes clés de départ et d'arrivée sont absentes.</w:t>
            </w:r>
          </w:p>
        </w:tc>
      </w:tr>
      <w:tr w:rsidR="00F51311" w:rsidRPr="00F51311" w:rsidTr="00F51311">
        <w:tc>
          <w:tcPr>
            <w:tcW w:w="1702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 xml:space="preserve">2. Cohérence </w:t>
            </w: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</w:t>
            </w: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 xml:space="preserve">ieu / </w:t>
            </w: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é</w:t>
            </w: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 xml:space="preserve">tape du </w:t>
            </w: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s</w:t>
            </w: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entiment</w:t>
            </w:r>
          </w:p>
        </w:tc>
        <w:tc>
          <w:tcPr>
            <w:tcW w:w="3685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 xml:space="preserve">Les associations </w:t>
            </w: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</w:t>
            </w: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ieu/</w:t>
            </w: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s</w:t>
            </w: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entiment sont très pertinentes, inventives et allégoriques (</w:t>
            </w:r>
            <w:proofErr w:type="gramStart"/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ex:</w:t>
            </w:r>
            <w:proofErr w:type="gramEnd"/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 Désert de l'Indifférence).</w:t>
            </w:r>
          </w:p>
        </w:tc>
        <w:tc>
          <w:tcPr>
            <w:tcW w:w="3686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Les associations sont majoritairement cohérentes, mais certaines sont trop génériques ou manquent de finesse symbolique.</w:t>
            </w:r>
          </w:p>
        </w:tc>
        <w:tc>
          <w:tcPr>
            <w:tcW w:w="3544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Plusieurs associations sont forcées, peu claires, et le potentiel symbolique des lieux n'est pas exploité.</w:t>
            </w:r>
          </w:p>
        </w:tc>
        <w:tc>
          <w:tcPr>
            <w:tcW w:w="3260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Les associations sont aléatoires, incohérentes ou le lieu n'a aucun lien avec le sentiment associé.</w:t>
            </w:r>
          </w:p>
        </w:tc>
      </w:tr>
      <w:tr w:rsidR="00F51311" w:rsidRPr="00F51311" w:rsidTr="00F51311">
        <w:tc>
          <w:tcPr>
            <w:tcW w:w="1702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3. Propreté et Soin de la Réalisation</w:t>
            </w:r>
          </w:p>
        </w:tc>
        <w:tc>
          <w:tcPr>
            <w:tcW w:w="3685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La carte est exceptionnellement propre, soignée et très esthétique. Le graphisme est clair, lisible et harmonieux.</w:t>
            </w:r>
          </w:p>
        </w:tc>
        <w:tc>
          <w:tcPr>
            <w:tcW w:w="3686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La carte est propre et lisible, mais le design est simple ou le soin apporté à certains détails est insuffisant.</w:t>
            </w:r>
          </w:p>
        </w:tc>
        <w:tc>
          <w:tcPr>
            <w:tcW w:w="3544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Des signes de négligence sont visibles (alignement, lisibilité du texte, finitions). Le rendu est brouillon par endroits.</w:t>
            </w:r>
          </w:p>
        </w:tc>
        <w:tc>
          <w:tcPr>
            <w:tcW w:w="3260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La carte est difficile à lire, très brouillonne, et le travail est bâclé ou non terminé.</w:t>
            </w:r>
          </w:p>
        </w:tc>
      </w:tr>
      <w:tr w:rsidR="00F51311" w:rsidRPr="00F51311" w:rsidTr="00F51311">
        <w:tc>
          <w:tcPr>
            <w:tcW w:w="1702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4. Richesse du Vocabulaire du XXIe Siècle</w:t>
            </w:r>
          </w:p>
        </w:tc>
        <w:tc>
          <w:tcPr>
            <w:tcW w:w="3685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Le vocabulaire moderne (2.0) est judicieusement intégré et enrichit l'allégorie de la carte de manière créative (</w:t>
            </w:r>
            <w:proofErr w:type="gramStart"/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ex:</w:t>
            </w:r>
            <w:proofErr w:type="gramEnd"/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 Marécage de la Friendzone).</w:t>
            </w:r>
          </w:p>
        </w:tc>
        <w:tc>
          <w:tcPr>
            <w:tcW w:w="3686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Le vocabulaire 2.0 est bien présent, mais il se limite à une utilisation des termes de la liste fournie et manque d'initiative personnelle.</w:t>
            </w:r>
          </w:p>
        </w:tc>
        <w:tc>
          <w:tcPr>
            <w:tcW w:w="3544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Le vocabulaire 2.0 est peu exploité ou est mal compris/mal utilisé dans le contexte des lieux et des sentiments.</w:t>
            </w:r>
          </w:p>
        </w:tc>
        <w:tc>
          <w:tcPr>
            <w:tcW w:w="3260" w:type="dxa"/>
            <w:hideMark/>
          </w:tcPr>
          <w:p w:rsidR="00F51311" w:rsidRPr="00F51311" w:rsidRDefault="00F51311" w:rsidP="00F5131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Le vocabulaire utilisé est trop classique et ne reflète pas ou très peu la thématique du XXIe siècle.</w:t>
            </w:r>
          </w:p>
        </w:tc>
      </w:tr>
      <w:tr w:rsidR="00F51311" w:rsidRPr="00F51311" w:rsidTr="00F51311">
        <w:trPr>
          <w:trHeight w:val="442"/>
        </w:trPr>
        <w:tc>
          <w:tcPr>
            <w:tcW w:w="1702" w:type="dxa"/>
          </w:tcPr>
          <w:p w:rsidR="00F51311" w:rsidRPr="00F51311" w:rsidRDefault="00F51311" w:rsidP="00F51311">
            <w:pPr>
              <w:rPr>
                <w:rFonts w:ascii="Arial" w:hAnsi="Arial" w:cs="Arial"/>
                <w:b/>
                <w:bCs/>
                <w:lang w:eastAsia="fr-FR"/>
              </w:rPr>
            </w:pPr>
            <w:r w:rsidRPr="00F51311">
              <w:rPr>
                <w:rFonts w:ascii="Arial" w:hAnsi="Arial" w:cs="Arial"/>
                <w:b/>
                <w:bCs/>
                <w:lang w:eastAsia="fr-FR"/>
              </w:rPr>
              <w:t>Total</w:t>
            </w:r>
          </w:p>
        </w:tc>
        <w:tc>
          <w:tcPr>
            <w:tcW w:w="14175" w:type="dxa"/>
            <w:gridSpan w:val="4"/>
          </w:tcPr>
          <w:p w:rsidR="00F51311" w:rsidRPr="00F51311" w:rsidRDefault="00F51311" w:rsidP="00F51311">
            <w:pPr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 w:rsidRPr="00F51311">
              <w:rPr>
                <w:rFonts w:ascii="Arial" w:hAnsi="Arial" w:cs="Arial"/>
                <w:b/>
                <w:bCs/>
                <w:lang w:eastAsia="fr-FR"/>
              </w:rPr>
              <w:t>…/20</w:t>
            </w:r>
          </w:p>
        </w:tc>
      </w:tr>
    </w:tbl>
    <w:p w:rsidR="00A950C3" w:rsidRDefault="00A950C3" w:rsidP="00F51311">
      <w:pPr>
        <w:rPr>
          <w:rFonts w:ascii="Arial" w:hAnsi="Arial" w:cs="Arial"/>
          <w:sz w:val="20"/>
          <w:szCs w:val="20"/>
        </w:rPr>
      </w:pPr>
    </w:p>
    <w:p w:rsidR="00F51311" w:rsidRDefault="00F51311" w:rsidP="00F51311">
      <w:pPr>
        <w:rPr>
          <w:rFonts w:ascii="Arial" w:hAnsi="Arial" w:cs="Arial"/>
          <w:sz w:val="20"/>
          <w:szCs w:val="20"/>
        </w:rPr>
      </w:pPr>
    </w:p>
    <w:p w:rsidR="00F51311" w:rsidRPr="00F51311" w:rsidRDefault="00F51311" w:rsidP="00F51311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5877" w:type="dxa"/>
        <w:tblInd w:w="-289" w:type="dxa"/>
        <w:tblLook w:val="04A0" w:firstRow="1" w:lastRow="0" w:firstColumn="1" w:lastColumn="0" w:noHBand="0" w:noVBand="1"/>
      </w:tblPr>
      <w:tblGrid>
        <w:gridCol w:w="1702"/>
        <w:gridCol w:w="3685"/>
        <w:gridCol w:w="3686"/>
        <w:gridCol w:w="3544"/>
        <w:gridCol w:w="3260"/>
      </w:tblGrid>
      <w:tr w:rsidR="00F51311" w:rsidRPr="00F51311" w:rsidTr="00E5537F">
        <w:tc>
          <w:tcPr>
            <w:tcW w:w="1702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Critères d'Évaluation</w:t>
            </w:r>
          </w:p>
        </w:tc>
        <w:tc>
          <w:tcPr>
            <w:tcW w:w="3685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Niveau 4 : très bonne maîtrise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5 points</w:t>
            </w:r>
          </w:p>
        </w:tc>
        <w:tc>
          <w:tcPr>
            <w:tcW w:w="3686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 xml:space="preserve">Niveau 3 : bonne maîtrise 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4 points</w:t>
            </w:r>
          </w:p>
        </w:tc>
        <w:tc>
          <w:tcPr>
            <w:tcW w:w="3544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Niveau 2 : maîtrise satisfaisante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3 points</w:t>
            </w:r>
          </w:p>
        </w:tc>
        <w:tc>
          <w:tcPr>
            <w:tcW w:w="3260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Niveau 1 : maîtrise insuffisante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0/1 point</w:t>
            </w:r>
          </w:p>
        </w:tc>
      </w:tr>
      <w:tr w:rsidR="00F51311" w:rsidRPr="00F51311" w:rsidTr="00E5537F">
        <w:tc>
          <w:tcPr>
            <w:tcW w:w="1702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1. Progression &amp; Finalité du Sentiment</w:t>
            </w:r>
          </w:p>
        </w:tc>
        <w:tc>
          <w:tcPr>
            <w:tcW w:w="3685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Le chemin est clairement progressif, de la première étape à une union stable sans incohérences. Le dénouement est atteint.</w:t>
            </w:r>
          </w:p>
        </w:tc>
        <w:tc>
          <w:tcPr>
            <w:tcW w:w="3686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Le chemin est globalement progressif, mais la transition entre certaines étapes est abrupte ou légèrement illogique.</w:t>
            </w:r>
          </w:p>
        </w:tc>
        <w:tc>
          <w:tcPr>
            <w:tcW w:w="3544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La progression s'arrête ou ne mène pas explicitement à l'union stable. Des régressions non intentionnelles sont présentes.</w:t>
            </w:r>
          </w:p>
        </w:tc>
        <w:tc>
          <w:tcPr>
            <w:tcW w:w="3260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Le chemin est désorganisé, illogique, ou les étapes clés de départ et d'arrivée sont absentes.</w:t>
            </w:r>
          </w:p>
        </w:tc>
      </w:tr>
      <w:tr w:rsidR="00F51311" w:rsidRPr="00F51311" w:rsidTr="00E5537F">
        <w:tc>
          <w:tcPr>
            <w:tcW w:w="1702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2. Cohérence lieu / étape du sentiment</w:t>
            </w:r>
          </w:p>
        </w:tc>
        <w:tc>
          <w:tcPr>
            <w:tcW w:w="3685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Les associations lieu/sentiment sont très pertinentes, inventives et allégoriques (</w:t>
            </w:r>
            <w:proofErr w:type="gramStart"/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ex:</w:t>
            </w:r>
            <w:proofErr w:type="gramEnd"/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 Désert de l'Indifférence).</w:t>
            </w:r>
          </w:p>
        </w:tc>
        <w:tc>
          <w:tcPr>
            <w:tcW w:w="3686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Les associations sont majoritairement cohérentes, mais certaines sont trop génériques ou manquent de finesse symbolique.</w:t>
            </w:r>
          </w:p>
        </w:tc>
        <w:tc>
          <w:tcPr>
            <w:tcW w:w="3544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Plusieurs associations sont forcées, peu claires, et le potentiel symbolique des lieux n'est pas exploité.</w:t>
            </w:r>
          </w:p>
        </w:tc>
        <w:tc>
          <w:tcPr>
            <w:tcW w:w="3260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Les associations sont aléatoires, incohérentes ou le lieu n'a aucun lien avec le sentiment associé.</w:t>
            </w:r>
          </w:p>
        </w:tc>
      </w:tr>
      <w:tr w:rsidR="00F51311" w:rsidRPr="00F51311" w:rsidTr="00E5537F">
        <w:tc>
          <w:tcPr>
            <w:tcW w:w="1702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3. Propreté et Soin de la Réalisation</w:t>
            </w:r>
          </w:p>
        </w:tc>
        <w:tc>
          <w:tcPr>
            <w:tcW w:w="3685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La carte est exceptionnellement propre, soignée et très esthétique. Le graphisme est clair, lisible et harmonieux.</w:t>
            </w:r>
          </w:p>
        </w:tc>
        <w:tc>
          <w:tcPr>
            <w:tcW w:w="3686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La carte est propre et lisible, mais le design est simple ou le soin apporté à certains détails est insuffisant.</w:t>
            </w:r>
          </w:p>
        </w:tc>
        <w:tc>
          <w:tcPr>
            <w:tcW w:w="3544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Des signes de négligence sont visibles (alignement, lisibilité du texte, finitions). Le rendu est brouillon par endroits.</w:t>
            </w:r>
          </w:p>
        </w:tc>
        <w:tc>
          <w:tcPr>
            <w:tcW w:w="3260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La carte est difficile à lire, très brouillonne, et le travail est bâclé ou non terminé.</w:t>
            </w:r>
          </w:p>
        </w:tc>
      </w:tr>
      <w:tr w:rsidR="00F51311" w:rsidRPr="00F51311" w:rsidTr="00E5537F">
        <w:tc>
          <w:tcPr>
            <w:tcW w:w="1702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4. Richesse du Vocabulaire du XXIe Siècle</w:t>
            </w:r>
          </w:p>
        </w:tc>
        <w:tc>
          <w:tcPr>
            <w:tcW w:w="3685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Le vocabulaire moderne (2.0) est judicieusement intégré et enrichit l'allégorie de la carte de manière créative (</w:t>
            </w:r>
            <w:proofErr w:type="gramStart"/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ex:</w:t>
            </w:r>
            <w:proofErr w:type="gramEnd"/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 Marécage de la Friendzone).</w:t>
            </w:r>
          </w:p>
        </w:tc>
        <w:tc>
          <w:tcPr>
            <w:tcW w:w="3686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Le vocabulaire 2.0 est bien présent, mais il se limite à une utilisation des termes de la liste fournie et manque d'initiative personnelle.</w:t>
            </w:r>
          </w:p>
        </w:tc>
        <w:tc>
          <w:tcPr>
            <w:tcW w:w="3544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Le vocabulaire 2.0 est peu exploité ou est mal compris/mal utilisé dans le contexte des lieux et des sentiments.</w:t>
            </w:r>
          </w:p>
        </w:tc>
        <w:tc>
          <w:tcPr>
            <w:tcW w:w="3260" w:type="dxa"/>
            <w:hideMark/>
          </w:tcPr>
          <w:p w:rsidR="00F51311" w:rsidRPr="00F51311" w:rsidRDefault="00F51311" w:rsidP="00E5537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51311">
              <w:rPr>
                <w:rFonts w:ascii="Arial" w:hAnsi="Arial" w:cs="Arial"/>
                <w:sz w:val="20"/>
                <w:szCs w:val="20"/>
                <w:lang w:eastAsia="fr-FR"/>
              </w:rPr>
              <w:t>Le vocabulaire utilisé est trop classique et ne reflète pas ou très peu la thématique du XXIe siècle.</w:t>
            </w:r>
          </w:p>
        </w:tc>
      </w:tr>
      <w:tr w:rsidR="00F51311" w:rsidRPr="00F51311" w:rsidTr="00E5537F">
        <w:trPr>
          <w:trHeight w:val="442"/>
        </w:trPr>
        <w:tc>
          <w:tcPr>
            <w:tcW w:w="1702" w:type="dxa"/>
          </w:tcPr>
          <w:p w:rsidR="00F51311" w:rsidRPr="00F51311" w:rsidRDefault="00F51311" w:rsidP="00E5537F">
            <w:pPr>
              <w:rPr>
                <w:rFonts w:ascii="Arial" w:hAnsi="Arial" w:cs="Arial"/>
                <w:b/>
                <w:bCs/>
                <w:lang w:eastAsia="fr-FR"/>
              </w:rPr>
            </w:pPr>
            <w:r w:rsidRPr="00F51311">
              <w:rPr>
                <w:rFonts w:ascii="Arial" w:hAnsi="Arial" w:cs="Arial"/>
                <w:b/>
                <w:bCs/>
                <w:lang w:eastAsia="fr-FR"/>
              </w:rPr>
              <w:t>Total</w:t>
            </w:r>
          </w:p>
        </w:tc>
        <w:tc>
          <w:tcPr>
            <w:tcW w:w="14175" w:type="dxa"/>
            <w:gridSpan w:val="4"/>
          </w:tcPr>
          <w:p w:rsidR="00F51311" w:rsidRPr="00F51311" w:rsidRDefault="00F51311" w:rsidP="00F51311">
            <w:pPr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 w:rsidRPr="00F51311">
              <w:rPr>
                <w:rFonts w:ascii="Arial" w:hAnsi="Arial" w:cs="Arial"/>
                <w:b/>
                <w:bCs/>
                <w:lang w:eastAsia="fr-FR"/>
              </w:rPr>
              <w:t>…/20</w:t>
            </w:r>
          </w:p>
        </w:tc>
      </w:tr>
    </w:tbl>
    <w:p w:rsidR="00F51311" w:rsidRPr="00F51311" w:rsidRDefault="00F51311" w:rsidP="00F51311">
      <w:pPr>
        <w:rPr>
          <w:rFonts w:ascii="Comic Sans MS" w:hAnsi="Comic Sans MS"/>
          <w:sz w:val="20"/>
          <w:szCs w:val="20"/>
        </w:rPr>
      </w:pPr>
    </w:p>
    <w:sectPr w:rsidR="00F51311" w:rsidRPr="00F51311" w:rsidSect="00F51311">
      <w:pgSz w:w="16840" w:h="11900" w:orient="landscape"/>
      <w:pgMar w:top="454" w:right="816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11"/>
    <w:rsid w:val="00A950C3"/>
    <w:rsid w:val="00C46E71"/>
    <w:rsid w:val="00F5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FD6F88"/>
  <w15:chartTrackingRefBased/>
  <w15:docId w15:val="{76F3ECDE-30D7-8C47-A3A7-39D9A6D3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51311"/>
    <w:rPr>
      <w:b/>
      <w:bCs/>
    </w:rPr>
  </w:style>
  <w:style w:type="character" w:customStyle="1" w:styleId="apple-converted-space">
    <w:name w:val="apple-converted-space"/>
    <w:basedOn w:val="Policepardfaut"/>
    <w:rsid w:val="00F51311"/>
  </w:style>
  <w:style w:type="table" w:styleId="Grilledutableau">
    <w:name w:val="Table Grid"/>
    <w:basedOn w:val="TableauNormal"/>
    <w:uiPriority w:val="39"/>
    <w:rsid w:val="00F51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4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676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2025-11-30T11:02:00Z</dcterms:created>
  <dcterms:modified xsi:type="dcterms:W3CDTF">2025-11-30T11:11:00Z</dcterms:modified>
</cp:coreProperties>
</file>