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tbl>
      <w:tblPr>
        <w:tblW w:w="0" w:type="auto"/>
        <w:jc w:val="center"/>
        <w:tblBorders>
          <w:top w:val="nil"/>
          <w:left w:val="nil"/>
          <w:bottom w:val="nil"/>
          <w:right w:val="nil"/>
          <w:insideH w:val="nil"/>
          <w:insideV w:val="nil"/>
        </w:tblBorders>
        <w:tblLayout w:type="fixed"/>
        <w:tblLook w:val="04A0" w:firstRow="1" w:lastRow="0" w:firstColumn="1" w:lastColumn="0" w:noHBand="0" w:noVBand="1"/>
      </w:tblPr>
      <w:tblGrid>
        <w:gridCol w:w="8050"/>
        <w:gridCol w:w="2494"/>
      </w:tblGrid>
      <w:tr w:rsidR="006D2E3B" w14:paraId="0B549E20" w14:textId="77777777">
        <w:trPr>
          <w:cantSplit/>
          <w:jc w:val="center"/>
        </w:trPr>
        <w:tc>
          <w:tcPr>
            <w:tcW w:w="8050" w:type="dxa"/>
            <w:tcMar>
              <w:top w:w="85" w:type="dxa"/>
              <w:left w:w="85" w:type="dxa"/>
              <w:bottom w:w="85" w:type="dxa"/>
              <w:right w:w="85" w:type="dxa"/>
            </w:tcMar>
            <w:vAlign w:val="center"/>
          </w:tcPr>
          <w:p w14:paraId="1CA7F686" w14:textId="77777777" w:rsidR="006D2E3B" w:rsidRDefault="00000000">
            <w:pPr>
              <w:spacing w:after="60" w:line="247" w:lineRule="auto"/>
            </w:pPr>
            <w:r>
              <w:rPr>
                <w:b/>
                <w:color w:val="935137"/>
                <w:sz w:val="22"/>
              </w:rPr>
              <w:t>DOCUMENT RÉSERVÉ À L’ENSEIGNANT</w:t>
            </w:r>
          </w:p>
          <w:p w14:paraId="72A92A6C" w14:textId="77777777" w:rsidR="006D2E3B" w:rsidRDefault="00000000">
            <w:pPr>
              <w:spacing w:after="0" w:line="247" w:lineRule="auto"/>
            </w:pPr>
            <w:r>
              <w:rPr>
                <w:b/>
                <w:sz w:val="44"/>
              </w:rPr>
              <w:t>NÉRON • mode d’emploi</w:t>
            </w:r>
          </w:p>
        </w:tc>
        <w:tc>
          <w:tcPr>
            <w:tcW w:w="2494" w:type="dxa"/>
            <w:tcMar>
              <w:top w:w="85" w:type="dxa"/>
              <w:left w:w="85" w:type="dxa"/>
              <w:bottom w:w="85" w:type="dxa"/>
              <w:right w:w="85" w:type="dxa"/>
            </w:tcMar>
            <w:vAlign w:val="center"/>
          </w:tcPr>
          <w:p w14:paraId="5ECD76D4" w14:textId="77777777" w:rsidR="006D2E3B" w:rsidRDefault="00000000">
            <w:pPr>
              <w:spacing w:after="0"/>
              <w:jc w:val="center"/>
            </w:pPr>
            <w:r>
              <w:rPr>
                <w:noProof/>
              </w:rPr>
              <w:drawing>
                <wp:inline distT="0" distB="0" distL="0" distR="0" wp14:anchorId="67331FC0" wp14:editId="2F55F9BE">
                  <wp:extent cx="814218" cy="1080000"/>
                  <wp:effectExtent l="0" t="0" r="0" b="0"/>
                  <wp:docPr id="1" name="Picture 1" descr="Photographie détourée de sculpture, reprise du dossier four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rtrait.png"/>
                          <pic:cNvPicPr/>
                        </pic:nvPicPr>
                        <pic:blipFill>
                          <a:blip r:embed="rId8"/>
                          <a:stretch>
                            <a:fillRect/>
                          </a:stretch>
                        </pic:blipFill>
                        <pic:spPr>
                          <a:xfrm>
                            <a:off x="0" y="0"/>
                            <a:ext cx="814218" cy="1080000"/>
                          </a:xfrm>
                          <a:prstGeom prst="rect">
                            <a:avLst/>
                          </a:prstGeom>
                        </pic:spPr>
                      </pic:pic>
                    </a:graphicData>
                  </a:graphic>
                </wp:inline>
              </w:drawing>
            </w:r>
          </w:p>
        </w:tc>
      </w:tr>
    </w:tbl>
    <w:p w14:paraId="4842F5CF" w14:textId="77777777" w:rsidR="006D2E3B" w:rsidRDefault="006D2E3B">
      <w:pPr>
        <w:spacing w:after="0"/>
      </w:pPr>
    </w:p>
    <w:p w14:paraId="4BDCEB47" w14:textId="77777777" w:rsidR="006D2E3B" w:rsidRDefault="00000000">
      <w:pPr>
        <w:spacing w:after="120"/>
      </w:pPr>
      <w:r>
        <w:rPr>
          <w:b/>
          <w:color w:val="A12D31"/>
        </w:rPr>
        <w:t>Cette refonte remplace les versions précédentes. Aucun ancien paquet de lettres ou ancien corrigé n’est à conserver dans le jeu.</w:t>
      </w:r>
    </w:p>
    <w:p w14:paraId="753ADDE7" w14:textId="77777777" w:rsidR="006D2E3B" w:rsidRDefault="00000000">
      <w:pPr>
        <w:pStyle w:val="Titre2"/>
        <w:spacing w:before="80" w:after="60"/>
      </w:pPr>
      <w:r>
        <w:rPr>
          <w:rFonts w:ascii="Arial" w:hAnsi="Arial"/>
          <w:b w:val="0"/>
        </w:rPr>
        <w:t>Préparation et déroulement</w:t>
      </w:r>
    </w:p>
    <w:p w14:paraId="6E5FE253" w14:textId="77777777" w:rsidR="006D2E3B" w:rsidRDefault="00000000">
      <w:pPr>
        <w:spacing w:after="100"/>
      </w:pPr>
      <w:r>
        <w:t>Par équipe de 3 ou 4 : un carnet de 8 pages, les 36 cartes (six paquets de six), six enveloppes numérotées et une enveloppe « coffre final » contenant uniquement la pièce F. Les badges sont facultatifs.</w:t>
      </w:r>
    </w:p>
    <w:p w14:paraId="6F7A6A48" w14:textId="77777777" w:rsidR="006D2E3B" w:rsidRDefault="00000000">
      <w:pPr>
        <w:spacing w:after="100"/>
      </w:pPr>
      <w:r>
        <w:t>Au départ, distribuer le carnet et l’enveloppe 1 seulement. Garder les enveloppes 2 à 6 et la pièce F. Le carnet contient les textes, mais pas les correspondances numérotées des paquets encore fermés.</w:t>
      </w:r>
    </w:p>
    <w:p w14:paraId="464C4E28" w14:textId="77777777" w:rsidR="006D2E3B" w:rsidRDefault="00000000">
      <w:pPr>
        <w:spacing w:after="100"/>
      </w:pPr>
      <w:r>
        <w:t>À chaque contrôle : l’équipe montre ses trois cartes dans l’ordre, sa traduction, trois expressions latines soulignées et sa réponse critique. Le code correct sans justification ne débloque rien. Une approximation de français est acceptable si le sens est établi.</w:t>
      </w:r>
    </w:p>
    <w:p w14:paraId="785F3410" w14:textId="77777777" w:rsidR="006D2E3B" w:rsidRDefault="00000000">
      <w:pPr>
        <w:spacing w:after="100"/>
      </w:pPr>
      <w:r>
        <w:t xml:space="preserve">Après validation, faire recopier le code dans le </w:t>
      </w:r>
      <w:r>
        <w:rPr>
          <w:b/>
        </w:rPr>
        <w:t>tableau de suivi des codes</w:t>
      </w:r>
      <w:r>
        <w:t xml:space="preserve"> (</w:t>
      </w:r>
      <w:r>
        <w:rPr>
          <w:b/>
        </w:rPr>
        <w:t>page 1 du carnet</w:t>
      </w:r>
      <w:r>
        <w:t xml:space="preserve">, colonne « Code trouvé »), puis apposer le visa sur la même ligne et remettre l’enveloppe suivante. Après six visas, l’équipe relève le </w:t>
      </w:r>
      <w:r>
        <w:rPr>
          <w:b/>
        </w:rPr>
        <w:t>deuxième chiffre</w:t>
      </w:r>
      <w:r>
        <w:t xml:space="preserve"> des six codes, dans l’ordre des dossiers 1 à 6. Vérifier la combinaison, remettre la pièce F, puis faire rédiger et discuter le verdict. La validation est assurée par l’enseignant, sans cadenas ni application.</w:t>
      </w:r>
    </w:p>
    <w:p w14:paraId="775D3A5A" w14:textId="77777777" w:rsidR="006D2E3B" w:rsidRDefault="00000000">
      <w:pPr>
        <w:spacing w:after="100"/>
      </w:pPr>
      <w:r>
        <w:t>Durée conseillée : deux séances de 55 minutes, avec les dossiers 1 à 3 puis 4 à 6 et le bilan. Cette durée est une estimation ; le jeu n’a pas été testé en classe. Les indices n’entraînent pas de pénalité.</w:t>
      </w:r>
    </w:p>
    <w:p w14:paraId="4E948827" w14:textId="77777777" w:rsidR="006D2E3B" w:rsidRDefault="00000000">
      <w:pPr>
        <w:pStyle w:val="Titre2"/>
        <w:spacing w:before="80" w:after="60"/>
      </w:pPr>
      <w:r>
        <w:rPr>
          <w:rFonts w:ascii="Arial" w:hAnsi="Arial"/>
          <w:b w:val="0"/>
        </w:rPr>
        <w:t>Table de contrôle — à ne pas distribuer</w:t>
      </w:r>
    </w:p>
    <w:tbl>
      <w:tblPr>
        <w:tblW w:w="0" w:type="auto"/>
        <w:jc w:val="center"/>
        <w:tblBorders>
          <w:top w:val="single" w:sz="4" w:space="0" w:color="919191"/>
          <w:left w:val="single" w:sz="4" w:space="0" w:color="919191"/>
          <w:bottom w:val="single" w:sz="4" w:space="0" w:color="919191"/>
          <w:right w:val="single" w:sz="4" w:space="0" w:color="919191"/>
          <w:insideH w:val="single" w:sz="4" w:space="0" w:color="919191"/>
          <w:insideV w:val="single" w:sz="4" w:space="0" w:color="919191"/>
        </w:tblBorders>
        <w:tblLayout w:type="fixed"/>
        <w:tblLook w:val="04A0" w:firstRow="1" w:lastRow="0" w:firstColumn="1" w:lastColumn="0" w:noHBand="0" w:noVBand="1"/>
      </w:tblPr>
      <w:tblGrid>
        <w:gridCol w:w="907"/>
        <w:gridCol w:w="4309"/>
        <w:gridCol w:w="1984"/>
        <w:gridCol w:w="3345"/>
      </w:tblGrid>
      <w:tr w:rsidR="006D2E3B" w14:paraId="4ED679B9" w14:textId="77777777">
        <w:trPr>
          <w:cantSplit/>
          <w:jc w:val="center"/>
        </w:trPr>
        <w:tc>
          <w:tcPr>
            <w:tcW w:w="907" w:type="dxa"/>
            <w:tcMar>
              <w:top w:w="85" w:type="dxa"/>
              <w:left w:w="85" w:type="dxa"/>
              <w:bottom w:w="85" w:type="dxa"/>
              <w:right w:w="85" w:type="dxa"/>
            </w:tcMar>
            <w:vAlign w:val="center"/>
          </w:tcPr>
          <w:p w14:paraId="33382AF1" w14:textId="77777777" w:rsidR="006D2E3B" w:rsidRDefault="00000000">
            <w:pPr>
              <w:spacing w:after="40" w:line="247" w:lineRule="auto"/>
            </w:pPr>
            <w:r>
              <w:rPr>
                <w:b/>
                <w:sz w:val="22"/>
              </w:rPr>
              <w:t>N°</w:t>
            </w:r>
          </w:p>
        </w:tc>
        <w:tc>
          <w:tcPr>
            <w:tcW w:w="4309" w:type="dxa"/>
            <w:tcMar>
              <w:top w:w="85" w:type="dxa"/>
              <w:left w:w="85" w:type="dxa"/>
              <w:bottom w:w="85" w:type="dxa"/>
              <w:right w:w="85" w:type="dxa"/>
            </w:tcMar>
            <w:vAlign w:val="center"/>
          </w:tcPr>
          <w:p w14:paraId="0CD4332D" w14:textId="77777777" w:rsidR="006D2E3B" w:rsidRDefault="00000000">
            <w:pPr>
              <w:spacing w:after="40" w:line="247" w:lineRule="auto"/>
            </w:pPr>
            <w:r>
              <w:rPr>
                <w:b/>
                <w:sz w:val="22"/>
              </w:rPr>
              <w:t>Ordre demandé</w:t>
            </w:r>
          </w:p>
        </w:tc>
        <w:tc>
          <w:tcPr>
            <w:tcW w:w="1984" w:type="dxa"/>
            <w:tcMar>
              <w:top w:w="85" w:type="dxa"/>
              <w:left w:w="85" w:type="dxa"/>
              <w:bottom w:w="85" w:type="dxa"/>
              <w:right w:w="85" w:type="dxa"/>
            </w:tcMar>
            <w:vAlign w:val="center"/>
          </w:tcPr>
          <w:p w14:paraId="43BBEDBC" w14:textId="77777777" w:rsidR="006D2E3B" w:rsidRDefault="00000000">
            <w:pPr>
              <w:spacing w:after="40" w:line="247" w:lineRule="auto"/>
            </w:pPr>
            <w:r>
              <w:rPr>
                <w:b/>
                <w:sz w:val="22"/>
              </w:rPr>
              <w:t>Code</w:t>
            </w:r>
          </w:p>
        </w:tc>
        <w:tc>
          <w:tcPr>
            <w:tcW w:w="3345" w:type="dxa"/>
            <w:tcMar>
              <w:top w:w="85" w:type="dxa"/>
              <w:left w:w="85" w:type="dxa"/>
              <w:bottom w:w="85" w:type="dxa"/>
              <w:right w:w="85" w:type="dxa"/>
            </w:tcMar>
            <w:vAlign w:val="center"/>
          </w:tcPr>
          <w:p w14:paraId="1B9C1B78" w14:textId="77777777" w:rsidR="006D2E3B" w:rsidRDefault="00000000">
            <w:pPr>
              <w:spacing w:after="40" w:line="247" w:lineRule="auto"/>
            </w:pPr>
            <w:r>
              <w:rPr>
                <w:b/>
                <w:sz w:val="22"/>
              </w:rPr>
              <w:t>Deuxième chiffre</w:t>
            </w:r>
          </w:p>
        </w:tc>
      </w:tr>
      <w:tr w:rsidR="006D2E3B" w14:paraId="3994BB2C" w14:textId="77777777">
        <w:trPr>
          <w:cantSplit/>
          <w:trHeight w:val="397"/>
          <w:jc w:val="center"/>
        </w:trPr>
        <w:tc>
          <w:tcPr>
            <w:tcW w:w="907" w:type="dxa"/>
            <w:tcMar>
              <w:top w:w="85" w:type="dxa"/>
              <w:left w:w="85" w:type="dxa"/>
              <w:bottom w:w="85" w:type="dxa"/>
              <w:right w:w="85" w:type="dxa"/>
            </w:tcMar>
            <w:vAlign w:val="center"/>
          </w:tcPr>
          <w:p w14:paraId="150891B7" w14:textId="77777777" w:rsidR="006D2E3B" w:rsidRDefault="00000000">
            <w:pPr>
              <w:spacing w:after="40" w:line="247" w:lineRule="auto"/>
            </w:pPr>
            <w:r>
              <w:rPr>
                <w:b/>
                <w:color w:val="A12D31"/>
                <w:sz w:val="22"/>
              </w:rPr>
              <w:t>1</w:t>
            </w:r>
          </w:p>
        </w:tc>
        <w:tc>
          <w:tcPr>
            <w:tcW w:w="4309" w:type="dxa"/>
            <w:tcMar>
              <w:top w:w="85" w:type="dxa"/>
              <w:left w:w="85" w:type="dxa"/>
              <w:bottom w:w="85" w:type="dxa"/>
              <w:right w:w="85" w:type="dxa"/>
            </w:tcMar>
            <w:vAlign w:val="center"/>
          </w:tcPr>
          <w:p w14:paraId="04CAD55A" w14:textId="77777777" w:rsidR="006D2E3B" w:rsidRDefault="00000000">
            <w:pPr>
              <w:spacing w:after="40" w:line="247" w:lineRule="auto"/>
            </w:pPr>
            <w:r>
              <w:rPr>
                <w:sz w:val="22"/>
              </w:rPr>
              <w:t>Burrus / Sénèque / influence</w:t>
            </w:r>
          </w:p>
        </w:tc>
        <w:tc>
          <w:tcPr>
            <w:tcW w:w="1984" w:type="dxa"/>
            <w:tcMar>
              <w:top w:w="85" w:type="dxa"/>
              <w:left w:w="85" w:type="dxa"/>
              <w:bottom w:w="85" w:type="dxa"/>
              <w:right w:w="85" w:type="dxa"/>
            </w:tcMar>
            <w:vAlign w:val="center"/>
          </w:tcPr>
          <w:p w14:paraId="74679630" w14:textId="77777777" w:rsidR="006D2E3B" w:rsidRDefault="00000000">
            <w:pPr>
              <w:spacing w:after="40" w:line="247" w:lineRule="auto"/>
            </w:pPr>
            <w:r>
              <w:rPr>
                <w:b/>
                <w:color w:val="A12D31"/>
                <w:sz w:val="22"/>
              </w:rPr>
              <w:t>482</w:t>
            </w:r>
          </w:p>
        </w:tc>
        <w:tc>
          <w:tcPr>
            <w:tcW w:w="3345" w:type="dxa"/>
            <w:tcMar>
              <w:top w:w="85" w:type="dxa"/>
              <w:left w:w="85" w:type="dxa"/>
              <w:bottom w:w="85" w:type="dxa"/>
              <w:right w:w="85" w:type="dxa"/>
            </w:tcMar>
            <w:vAlign w:val="center"/>
          </w:tcPr>
          <w:p w14:paraId="44F9ADFE" w14:textId="77777777" w:rsidR="006D2E3B" w:rsidRDefault="00000000">
            <w:pPr>
              <w:spacing w:after="40" w:line="247" w:lineRule="auto"/>
            </w:pPr>
            <w:r>
              <w:rPr>
                <w:b/>
                <w:color w:val="A12D31"/>
                <w:sz w:val="22"/>
              </w:rPr>
              <w:t>8</w:t>
            </w:r>
          </w:p>
        </w:tc>
      </w:tr>
      <w:tr w:rsidR="006D2E3B" w14:paraId="6BBC2ED8" w14:textId="77777777">
        <w:trPr>
          <w:cantSplit/>
          <w:trHeight w:val="397"/>
          <w:jc w:val="center"/>
        </w:trPr>
        <w:tc>
          <w:tcPr>
            <w:tcW w:w="907" w:type="dxa"/>
            <w:tcMar>
              <w:top w:w="85" w:type="dxa"/>
              <w:left w:w="85" w:type="dxa"/>
              <w:bottom w:w="85" w:type="dxa"/>
              <w:right w:w="85" w:type="dxa"/>
            </w:tcMar>
            <w:vAlign w:val="center"/>
          </w:tcPr>
          <w:p w14:paraId="19DD4EEB" w14:textId="77777777" w:rsidR="006D2E3B" w:rsidRDefault="00000000">
            <w:pPr>
              <w:spacing w:after="40" w:line="247" w:lineRule="auto"/>
            </w:pPr>
            <w:r>
              <w:rPr>
                <w:b/>
                <w:color w:val="A12D31"/>
                <w:sz w:val="22"/>
              </w:rPr>
              <w:t>2</w:t>
            </w:r>
          </w:p>
        </w:tc>
        <w:tc>
          <w:tcPr>
            <w:tcW w:w="4309" w:type="dxa"/>
            <w:tcMar>
              <w:top w:w="85" w:type="dxa"/>
              <w:left w:w="85" w:type="dxa"/>
              <w:bottom w:w="85" w:type="dxa"/>
              <w:right w:w="85" w:type="dxa"/>
            </w:tcMar>
            <w:vAlign w:val="center"/>
          </w:tcPr>
          <w:p w14:paraId="5A294F3B" w14:textId="77777777" w:rsidR="006D2E3B" w:rsidRDefault="00000000">
            <w:pPr>
              <w:spacing w:after="40" w:line="247" w:lineRule="auto"/>
            </w:pPr>
            <w:r>
              <w:rPr>
                <w:sz w:val="22"/>
              </w:rPr>
              <w:t>Lieu / construction / bénéficiaires</w:t>
            </w:r>
          </w:p>
        </w:tc>
        <w:tc>
          <w:tcPr>
            <w:tcW w:w="1984" w:type="dxa"/>
            <w:tcMar>
              <w:top w:w="85" w:type="dxa"/>
              <w:left w:w="85" w:type="dxa"/>
              <w:bottom w:w="85" w:type="dxa"/>
              <w:right w:w="85" w:type="dxa"/>
            </w:tcMar>
            <w:vAlign w:val="center"/>
          </w:tcPr>
          <w:p w14:paraId="7DD17DAB" w14:textId="77777777" w:rsidR="006D2E3B" w:rsidRDefault="00000000">
            <w:pPr>
              <w:spacing w:after="40" w:line="247" w:lineRule="auto"/>
            </w:pPr>
            <w:r>
              <w:rPr>
                <w:b/>
                <w:color w:val="A12D31"/>
                <w:sz w:val="22"/>
              </w:rPr>
              <w:t>716</w:t>
            </w:r>
          </w:p>
        </w:tc>
        <w:tc>
          <w:tcPr>
            <w:tcW w:w="3345" w:type="dxa"/>
            <w:tcMar>
              <w:top w:w="85" w:type="dxa"/>
              <w:left w:w="85" w:type="dxa"/>
              <w:bottom w:w="85" w:type="dxa"/>
              <w:right w:w="85" w:type="dxa"/>
            </w:tcMar>
            <w:vAlign w:val="center"/>
          </w:tcPr>
          <w:p w14:paraId="68CF1742" w14:textId="77777777" w:rsidR="006D2E3B" w:rsidRDefault="00000000">
            <w:pPr>
              <w:spacing w:after="40" w:line="247" w:lineRule="auto"/>
            </w:pPr>
            <w:r>
              <w:rPr>
                <w:b/>
                <w:color w:val="A12D31"/>
                <w:sz w:val="22"/>
              </w:rPr>
              <w:t>1</w:t>
            </w:r>
          </w:p>
        </w:tc>
      </w:tr>
      <w:tr w:rsidR="006D2E3B" w14:paraId="51374110" w14:textId="77777777">
        <w:trPr>
          <w:cantSplit/>
          <w:trHeight w:val="397"/>
          <w:jc w:val="center"/>
        </w:trPr>
        <w:tc>
          <w:tcPr>
            <w:tcW w:w="907" w:type="dxa"/>
            <w:tcMar>
              <w:top w:w="85" w:type="dxa"/>
              <w:left w:w="85" w:type="dxa"/>
              <w:bottom w:w="85" w:type="dxa"/>
              <w:right w:w="85" w:type="dxa"/>
            </w:tcMar>
            <w:vAlign w:val="center"/>
          </w:tcPr>
          <w:p w14:paraId="2D5DF594" w14:textId="77777777" w:rsidR="006D2E3B" w:rsidRDefault="00000000">
            <w:pPr>
              <w:spacing w:after="40" w:line="247" w:lineRule="auto"/>
            </w:pPr>
            <w:r>
              <w:rPr>
                <w:b/>
                <w:color w:val="A12D31"/>
                <w:sz w:val="22"/>
              </w:rPr>
              <w:t>3</w:t>
            </w:r>
          </w:p>
        </w:tc>
        <w:tc>
          <w:tcPr>
            <w:tcW w:w="4309" w:type="dxa"/>
            <w:tcMar>
              <w:top w:w="85" w:type="dxa"/>
              <w:left w:w="85" w:type="dxa"/>
              <w:bottom w:w="85" w:type="dxa"/>
              <w:right w:w="85" w:type="dxa"/>
            </w:tcMar>
            <w:vAlign w:val="center"/>
          </w:tcPr>
          <w:p w14:paraId="08A2F1D5" w14:textId="77777777" w:rsidR="006D2E3B" w:rsidRDefault="00000000">
            <w:pPr>
              <w:spacing w:after="40" w:line="247" w:lineRule="auto"/>
            </w:pPr>
            <w:r>
              <w:rPr>
                <w:sz w:val="22"/>
              </w:rPr>
              <w:t>Aménagement / usage / payeur</w:t>
            </w:r>
          </w:p>
        </w:tc>
        <w:tc>
          <w:tcPr>
            <w:tcW w:w="1984" w:type="dxa"/>
            <w:tcMar>
              <w:top w:w="85" w:type="dxa"/>
              <w:left w:w="85" w:type="dxa"/>
              <w:bottom w:w="85" w:type="dxa"/>
              <w:right w:w="85" w:type="dxa"/>
            </w:tcMar>
            <w:vAlign w:val="center"/>
          </w:tcPr>
          <w:p w14:paraId="6E241B4B" w14:textId="77777777" w:rsidR="006D2E3B" w:rsidRDefault="00000000">
            <w:pPr>
              <w:spacing w:after="40" w:line="247" w:lineRule="auto"/>
            </w:pPr>
            <w:r>
              <w:rPr>
                <w:b/>
                <w:color w:val="A12D31"/>
                <w:sz w:val="22"/>
              </w:rPr>
              <w:t>259</w:t>
            </w:r>
          </w:p>
        </w:tc>
        <w:tc>
          <w:tcPr>
            <w:tcW w:w="3345" w:type="dxa"/>
            <w:tcMar>
              <w:top w:w="85" w:type="dxa"/>
              <w:left w:w="85" w:type="dxa"/>
              <w:bottom w:w="85" w:type="dxa"/>
              <w:right w:w="85" w:type="dxa"/>
            </w:tcMar>
            <w:vAlign w:val="center"/>
          </w:tcPr>
          <w:p w14:paraId="7A37FECF" w14:textId="77777777" w:rsidR="006D2E3B" w:rsidRDefault="00000000">
            <w:pPr>
              <w:spacing w:after="40" w:line="247" w:lineRule="auto"/>
            </w:pPr>
            <w:r>
              <w:rPr>
                <w:b/>
                <w:color w:val="A12D31"/>
                <w:sz w:val="22"/>
              </w:rPr>
              <w:t>5</w:t>
            </w:r>
          </w:p>
        </w:tc>
      </w:tr>
      <w:tr w:rsidR="006D2E3B" w14:paraId="0F6F2DA5" w14:textId="77777777">
        <w:trPr>
          <w:cantSplit/>
          <w:trHeight w:val="397"/>
          <w:jc w:val="center"/>
        </w:trPr>
        <w:tc>
          <w:tcPr>
            <w:tcW w:w="907" w:type="dxa"/>
            <w:tcMar>
              <w:top w:w="85" w:type="dxa"/>
              <w:left w:w="85" w:type="dxa"/>
              <w:bottom w:w="85" w:type="dxa"/>
              <w:right w:w="85" w:type="dxa"/>
            </w:tcMar>
            <w:vAlign w:val="center"/>
          </w:tcPr>
          <w:p w14:paraId="4FC7D203" w14:textId="77777777" w:rsidR="006D2E3B" w:rsidRDefault="00000000">
            <w:pPr>
              <w:spacing w:after="40" w:line="247" w:lineRule="auto"/>
            </w:pPr>
            <w:r>
              <w:rPr>
                <w:b/>
                <w:color w:val="A12D31"/>
                <w:sz w:val="22"/>
              </w:rPr>
              <w:t>4</w:t>
            </w:r>
          </w:p>
        </w:tc>
        <w:tc>
          <w:tcPr>
            <w:tcW w:w="4309" w:type="dxa"/>
            <w:tcMar>
              <w:top w:w="85" w:type="dxa"/>
              <w:left w:w="85" w:type="dxa"/>
              <w:bottom w:w="85" w:type="dxa"/>
              <w:right w:w="85" w:type="dxa"/>
            </w:tcMar>
            <w:vAlign w:val="center"/>
          </w:tcPr>
          <w:p w14:paraId="3FD096B4" w14:textId="77777777" w:rsidR="006D2E3B" w:rsidRDefault="00000000">
            <w:pPr>
              <w:spacing w:after="40" w:line="247" w:lineRule="auto"/>
            </w:pPr>
            <w:r>
              <w:rPr>
                <w:sz w:val="22"/>
              </w:rPr>
              <w:t>But / action / personnes visées</w:t>
            </w:r>
          </w:p>
        </w:tc>
        <w:tc>
          <w:tcPr>
            <w:tcW w:w="1984" w:type="dxa"/>
            <w:tcMar>
              <w:top w:w="85" w:type="dxa"/>
              <w:left w:w="85" w:type="dxa"/>
              <w:bottom w:w="85" w:type="dxa"/>
              <w:right w:w="85" w:type="dxa"/>
            </w:tcMar>
            <w:vAlign w:val="center"/>
          </w:tcPr>
          <w:p w14:paraId="40325A85" w14:textId="77777777" w:rsidR="006D2E3B" w:rsidRDefault="00000000">
            <w:pPr>
              <w:spacing w:after="40" w:line="247" w:lineRule="auto"/>
            </w:pPr>
            <w:r>
              <w:rPr>
                <w:b/>
                <w:color w:val="A12D31"/>
                <w:sz w:val="22"/>
              </w:rPr>
              <w:t>934</w:t>
            </w:r>
          </w:p>
        </w:tc>
        <w:tc>
          <w:tcPr>
            <w:tcW w:w="3345" w:type="dxa"/>
            <w:tcMar>
              <w:top w:w="85" w:type="dxa"/>
              <w:left w:w="85" w:type="dxa"/>
              <w:bottom w:w="85" w:type="dxa"/>
              <w:right w:w="85" w:type="dxa"/>
            </w:tcMar>
            <w:vAlign w:val="center"/>
          </w:tcPr>
          <w:p w14:paraId="66C78611" w14:textId="77777777" w:rsidR="006D2E3B" w:rsidRDefault="00000000">
            <w:pPr>
              <w:spacing w:after="40" w:line="247" w:lineRule="auto"/>
            </w:pPr>
            <w:r>
              <w:rPr>
                <w:b/>
                <w:color w:val="A12D31"/>
                <w:sz w:val="22"/>
              </w:rPr>
              <w:t>3</w:t>
            </w:r>
          </w:p>
        </w:tc>
      </w:tr>
      <w:tr w:rsidR="006D2E3B" w14:paraId="1139CEB7" w14:textId="77777777">
        <w:trPr>
          <w:cantSplit/>
          <w:trHeight w:val="397"/>
          <w:jc w:val="center"/>
        </w:trPr>
        <w:tc>
          <w:tcPr>
            <w:tcW w:w="907" w:type="dxa"/>
            <w:tcMar>
              <w:top w:w="85" w:type="dxa"/>
              <w:left w:w="85" w:type="dxa"/>
              <w:bottom w:w="85" w:type="dxa"/>
              <w:right w:w="85" w:type="dxa"/>
            </w:tcMar>
            <w:vAlign w:val="center"/>
          </w:tcPr>
          <w:p w14:paraId="3736C2E5" w14:textId="77777777" w:rsidR="006D2E3B" w:rsidRDefault="00000000">
            <w:pPr>
              <w:spacing w:after="40" w:line="247" w:lineRule="auto"/>
            </w:pPr>
            <w:r>
              <w:rPr>
                <w:b/>
                <w:color w:val="A12D31"/>
                <w:sz w:val="22"/>
              </w:rPr>
              <w:t>5</w:t>
            </w:r>
          </w:p>
        </w:tc>
        <w:tc>
          <w:tcPr>
            <w:tcW w:w="4309" w:type="dxa"/>
            <w:tcMar>
              <w:top w:w="85" w:type="dxa"/>
              <w:left w:w="85" w:type="dxa"/>
              <w:bottom w:w="85" w:type="dxa"/>
              <w:right w:w="85" w:type="dxa"/>
            </w:tcMar>
            <w:vAlign w:val="center"/>
          </w:tcPr>
          <w:p w14:paraId="4ADFAE9F" w14:textId="77777777" w:rsidR="006D2E3B" w:rsidRDefault="00000000">
            <w:pPr>
              <w:spacing w:after="40" w:line="247" w:lineRule="auto"/>
            </w:pPr>
            <w:r>
              <w:rPr>
                <w:sz w:val="22"/>
              </w:rPr>
              <w:t>Enfance / pouvoir / Terpnus</w:t>
            </w:r>
          </w:p>
        </w:tc>
        <w:tc>
          <w:tcPr>
            <w:tcW w:w="1984" w:type="dxa"/>
            <w:tcMar>
              <w:top w:w="85" w:type="dxa"/>
              <w:left w:w="85" w:type="dxa"/>
              <w:bottom w:w="85" w:type="dxa"/>
              <w:right w:w="85" w:type="dxa"/>
            </w:tcMar>
            <w:vAlign w:val="center"/>
          </w:tcPr>
          <w:p w14:paraId="023AE507" w14:textId="77777777" w:rsidR="006D2E3B" w:rsidRDefault="00000000">
            <w:pPr>
              <w:spacing w:after="40" w:line="247" w:lineRule="auto"/>
            </w:pPr>
            <w:r>
              <w:rPr>
                <w:b/>
                <w:color w:val="A12D31"/>
                <w:sz w:val="22"/>
              </w:rPr>
              <w:t>627</w:t>
            </w:r>
          </w:p>
        </w:tc>
        <w:tc>
          <w:tcPr>
            <w:tcW w:w="3345" w:type="dxa"/>
            <w:tcMar>
              <w:top w:w="85" w:type="dxa"/>
              <w:left w:w="85" w:type="dxa"/>
              <w:bottom w:w="85" w:type="dxa"/>
              <w:right w:w="85" w:type="dxa"/>
            </w:tcMar>
            <w:vAlign w:val="center"/>
          </w:tcPr>
          <w:p w14:paraId="2870FA29" w14:textId="77777777" w:rsidR="006D2E3B" w:rsidRDefault="00000000">
            <w:pPr>
              <w:spacing w:after="40" w:line="247" w:lineRule="auto"/>
            </w:pPr>
            <w:r>
              <w:rPr>
                <w:b/>
                <w:color w:val="A12D31"/>
                <w:sz w:val="22"/>
              </w:rPr>
              <w:t>2</w:t>
            </w:r>
          </w:p>
        </w:tc>
      </w:tr>
      <w:tr w:rsidR="006D2E3B" w14:paraId="1F53E4C1" w14:textId="77777777">
        <w:trPr>
          <w:cantSplit/>
          <w:trHeight w:val="397"/>
          <w:jc w:val="center"/>
        </w:trPr>
        <w:tc>
          <w:tcPr>
            <w:tcW w:w="907" w:type="dxa"/>
            <w:tcMar>
              <w:top w:w="85" w:type="dxa"/>
              <w:left w:w="85" w:type="dxa"/>
              <w:bottom w:w="85" w:type="dxa"/>
              <w:right w:w="85" w:type="dxa"/>
            </w:tcMar>
            <w:vAlign w:val="center"/>
          </w:tcPr>
          <w:p w14:paraId="71BC0876" w14:textId="77777777" w:rsidR="006D2E3B" w:rsidRDefault="00000000">
            <w:pPr>
              <w:spacing w:after="40" w:line="247" w:lineRule="auto"/>
            </w:pPr>
            <w:r>
              <w:rPr>
                <w:b/>
                <w:color w:val="A12D31"/>
                <w:sz w:val="22"/>
              </w:rPr>
              <w:t>6</w:t>
            </w:r>
          </w:p>
        </w:tc>
        <w:tc>
          <w:tcPr>
            <w:tcW w:w="4309" w:type="dxa"/>
            <w:tcMar>
              <w:top w:w="85" w:type="dxa"/>
              <w:left w:w="85" w:type="dxa"/>
              <w:bottom w:w="85" w:type="dxa"/>
              <w:right w:w="85" w:type="dxa"/>
            </w:tcMar>
            <w:vAlign w:val="center"/>
          </w:tcPr>
          <w:p w14:paraId="559D89BB" w14:textId="77777777" w:rsidR="006D2E3B" w:rsidRDefault="00000000">
            <w:pPr>
              <w:spacing w:after="40" w:line="247" w:lineRule="auto"/>
            </w:pPr>
            <w:r>
              <w:rPr>
                <w:sz w:val="22"/>
              </w:rPr>
              <w:t>Étendue / noms / jugement</w:t>
            </w:r>
          </w:p>
        </w:tc>
        <w:tc>
          <w:tcPr>
            <w:tcW w:w="1984" w:type="dxa"/>
            <w:tcMar>
              <w:top w:w="85" w:type="dxa"/>
              <w:left w:w="85" w:type="dxa"/>
              <w:bottom w:w="85" w:type="dxa"/>
              <w:right w:w="85" w:type="dxa"/>
            </w:tcMar>
            <w:vAlign w:val="center"/>
          </w:tcPr>
          <w:p w14:paraId="17B9B64F" w14:textId="77777777" w:rsidR="006D2E3B" w:rsidRDefault="00000000">
            <w:pPr>
              <w:spacing w:after="40" w:line="247" w:lineRule="auto"/>
            </w:pPr>
            <w:r>
              <w:rPr>
                <w:b/>
                <w:color w:val="A12D31"/>
                <w:sz w:val="22"/>
              </w:rPr>
              <w:t>548</w:t>
            </w:r>
          </w:p>
        </w:tc>
        <w:tc>
          <w:tcPr>
            <w:tcW w:w="3345" w:type="dxa"/>
            <w:tcMar>
              <w:top w:w="85" w:type="dxa"/>
              <w:left w:w="85" w:type="dxa"/>
              <w:bottom w:w="85" w:type="dxa"/>
              <w:right w:w="85" w:type="dxa"/>
            </w:tcMar>
            <w:vAlign w:val="center"/>
          </w:tcPr>
          <w:p w14:paraId="4A93B357" w14:textId="77777777" w:rsidR="006D2E3B" w:rsidRDefault="00000000">
            <w:pPr>
              <w:spacing w:after="40" w:line="247" w:lineRule="auto"/>
            </w:pPr>
            <w:r>
              <w:rPr>
                <w:b/>
                <w:color w:val="A12D31"/>
                <w:sz w:val="22"/>
              </w:rPr>
              <w:t>4</w:t>
            </w:r>
          </w:p>
        </w:tc>
      </w:tr>
    </w:tbl>
    <w:p w14:paraId="707B72E9" w14:textId="77777777" w:rsidR="006D2E3B" w:rsidRDefault="00000000">
      <w:pPr>
        <w:spacing w:before="120"/>
      </w:pPr>
      <w:r>
        <w:rPr>
          <w:b/>
          <w:color w:val="A12D31"/>
          <w:sz w:val="32"/>
        </w:rPr>
        <w:t>Combinaison finale : 815324</w:t>
      </w:r>
    </w:p>
    <w:p w14:paraId="4AF45AB1" w14:textId="77777777" w:rsidR="006D2E3B" w:rsidRDefault="00000000">
      <w:pPr>
        <w:spacing w:after="0"/>
      </w:pPr>
      <w:r>
        <w:rPr>
          <w:sz w:val="22"/>
        </w:rPr>
        <w:t>Retour en cas d’erreur : ne donner ni le code ni le numéro fautif. Indiquer le type de problème (« rôle inversé », « ordre chronologique », « bénéficiaire »), puis laisser reprendre le latin.</w:t>
      </w:r>
    </w:p>
    <w:p w14:paraId="1B48107E" w14:textId="77777777" w:rsidR="006D2E3B" w:rsidRDefault="00000000">
      <w:r>
        <w:br w:type="page"/>
      </w:r>
    </w:p>
    <w:p w14:paraId="36AD8399" w14:textId="77777777" w:rsidR="006D2E3B" w:rsidRDefault="00000000">
      <w:pPr>
        <w:spacing w:after="140"/>
      </w:pPr>
      <w:r>
        <w:rPr>
          <w:b/>
          <w:color w:val="935137"/>
          <w:sz w:val="22"/>
        </w:rPr>
        <w:lastRenderedPageBreak/>
        <w:t>CORRIGÉ • TRADUIRE AVANT DE CONCLURE</w:t>
      </w:r>
    </w:p>
    <w:p w14:paraId="399E458C" w14:textId="77777777" w:rsidR="006D2E3B" w:rsidRDefault="00000000">
      <w:pPr>
        <w:spacing w:before="80"/>
      </w:pPr>
      <w:r>
        <w:rPr>
          <w:b/>
          <w:sz w:val="34"/>
        </w:rPr>
        <w:t>1. Les deux conseillers  |  code 482</w:t>
      </w:r>
    </w:p>
    <w:p w14:paraId="07DED1D9" w14:textId="77777777" w:rsidR="006D2E3B" w:rsidRDefault="00000000">
      <w:pPr>
        <w:spacing w:after="60"/>
      </w:pPr>
      <w:r>
        <w:rPr>
          <w:b/>
          <w:color w:val="935137"/>
          <w:sz w:val="22"/>
        </w:rPr>
        <w:t>Tacite, Annales, XIII, 2 — extrait.</w:t>
      </w:r>
    </w:p>
    <w:p w14:paraId="0A2517F9" w14:textId="77777777" w:rsidR="006D2E3B" w:rsidRDefault="00000000">
      <w:pPr>
        <w:spacing w:after="100"/>
      </w:pPr>
      <w:r>
        <w:rPr>
          <w:color w:val="A12D31"/>
        </w:rPr>
        <w:t>[…] Ils avaient une influence égale, par des moyens différents : Burrus par ses activités militaires et la rigueur de ses mœurs, Sénèque par ses leçons d’éloquence et une affabilité digne […].</w:t>
      </w:r>
    </w:p>
    <w:p w14:paraId="4C157064" w14:textId="77777777" w:rsidR="006D2E3B" w:rsidRDefault="00000000">
      <w:r>
        <w:rPr>
          <w:b/>
          <w:color w:val="A12D31"/>
          <w:sz w:val="22"/>
        </w:rPr>
        <w:t>Preuves, dans l’ordre : Burrus militaribus curis ; Seneca praeceptis eloquentiae ; ex aequo pollebant.</w:t>
      </w:r>
    </w:p>
    <w:p w14:paraId="6D858A5C" w14:textId="77777777" w:rsidR="006D2E3B" w:rsidRDefault="00000000">
      <w:r>
        <w:rPr>
          <w:color w:val="A12D31"/>
          <w:sz w:val="22"/>
        </w:rPr>
        <w:t>Cartes écartées : 1 et 9 inversent les activités. 5 contredit ex aequo.</w:t>
      </w:r>
    </w:p>
    <w:p w14:paraId="3719EA0D" w14:textId="77777777" w:rsidR="006D2E3B" w:rsidRDefault="00000000">
      <w:pPr>
        <w:spacing w:after="100"/>
      </w:pPr>
      <w:r>
        <w:rPr>
          <w:color w:val="A12D31"/>
        </w:rPr>
        <w:t>Réponse critique : Le texte montre un pouvoir accompagné par deux conseillers. Il ne décrit ni une décision entièrement solitaire, ni un règne intégralement vertueux. L’encadrement n’est pas une preuve d’innocence.</w:t>
      </w:r>
    </w:p>
    <w:p w14:paraId="7834CD82" w14:textId="77777777" w:rsidR="006D2E3B" w:rsidRDefault="00000000">
      <w:pPr>
        <w:spacing w:after="160"/>
      </w:pPr>
      <w:r>
        <w:rPr>
          <w:sz w:val="22"/>
        </w:rPr>
        <w:t>Indice 1 — Repérez les deux noms propres, puis les compléments qui les suivent.</w:t>
      </w:r>
      <w:r>
        <w:rPr>
          <w:sz w:val="22"/>
        </w:rPr>
        <w:br/>
        <w:t>Indice 2 — ex aequo porte sur leur influence ; ne l’attribuez pas à un seul des deux hommes.</w:t>
      </w:r>
    </w:p>
    <w:p w14:paraId="1CBCFDCC" w14:textId="77777777" w:rsidR="006D2E3B" w:rsidRDefault="00000000">
      <w:pPr>
        <w:spacing w:before="80"/>
      </w:pPr>
      <w:r>
        <w:rPr>
          <w:b/>
          <w:sz w:val="34"/>
        </w:rPr>
        <w:t>2. Les refuges ouverts  |  code 716</w:t>
      </w:r>
    </w:p>
    <w:p w14:paraId="19614178" w14:textId="77777777" w:rsidR="006D2E3B" w:rsidRDefault="00000000">
      <w:pPr>
        <w:spacing w:after="60"/>
      </w:pPr>
      <w:r>
        <w:rPr>
          <w:b/>
          <w:color w:val="935137"/>
          <w:sz w:val="22"/>
        </w:rPr>
        <w:t>Tacite, Annales, XV, 39, 2 — extrait.</w:t>
      </w:r>
    </w:p>
    <w:p w14:paraId="43196193" w14:textId="77777777" w:rsidR="006D2E3B" w:rsidRDefault="00000000">
      <w:pPr>
        <w:spacing w:after="100"/>
      </w:pPr>
      <w:r>
        <w:rPr>
          <w:color w:val="A12D31"/>
        </w:rPr>
        <w:t>[…] Il ouvrit même ses propres jardins et fit construire des bâtiments provisoires pour accueillir une foule démunie […].</w:t>
      </w:r>
    </w:p>
    <w:p w14:paraId="3FC11B18" w14:textId="77777777" w:rsidR="006D2E3B" w:rsidRDefault="00000000">
      <w:r>
        <w:rPr>
          <w:b/>
          <w:color w:val="A12D31"/>
          <w:sz w:val="22"/>
        </w:rPr>
        <w:t>Preuves, dans l’ordre : hortos quin etiam suos patefecit ; subitaria aedificia extruxit ; multitudinem inopem acciperent.</w:t>
      </w:r>
    </w:p>
    <w:p w14:paraId="6E3947A0" w14:textId="77777777" w:rsidR="006D2E3B" w:rsidRDefault="00000000">
      <w:r>
        <w:rPr>
          <w:color w:val="A12D31"/>
          <w:sz w:val="22"/>
        </w:rPr>
        <w:t>Cartes écartées : 4 inverse ouvrir et fermer. 8 substitue le palais aux abris provisoires. 2 remplace les sinistrés par la cour.</w:t>
      </w:r>
    </w:p>
    <w:p w14:paraId="267DB226" w14:textId="77777777" w:rsidR="006D2E3B" w:rsidRDefault="00000000">
      <w:pPr>
        <w:spacing w:after="100"/>
      </w:pPr>
      <w:r>
        <w:rPr>
          <w:color w:val="A12D31"/>
        </w:rPr>
        <w:t>Réponse critique : Tacite rapporte des secours concrets. Leur existence ne démontre pas la cause du feu et n’acquitte pas Néron de tous les actes de son règne. Au début du même chapitre, l’auteur le situe à Antium ; il rapporte ensuite une rumeur sur son chant.</w:t>
      </w:r>
    </w:p>
    <w:p w14:paraId="3F281A5F" w14:textId="77777777" w:rsidR="006D2E3B" w:rsidRDefault="00000000">
      <w:pPr>
        <w:spacing w:after="160"/>
      </w:pPr>
      <w:r>
        <w:rPr>
          <w:sz w:val="22"/>
        </w:rPr>
        <w:t>Indice 1 — Relevez les deux verbes dont Néron est le sujet.</w:t>
      </w:r>
      <w:r>
        <w:rPr>
          <w:sz w:val="22"/>
        </w:rPr>
        <w:br/>
        <w:t>Indice 2 — La relative introduite par quae indique le but des constructions ; inopem qualifie multitudinem.</w:t>
      </w:r>
    </w:p>
    <w:p w14:paraId="00887BB1" w14:textId="77777777" w:rsidR="006D2E3B" w:rsidRDefault="00000000">
      <w:r>
        <w:br w:type="page"/>
      </w:r>
    </w:p>
    <w:p w14:paraId="0EFDEC3A" w14:textId="77777777" w:rsidR="006D2E3B" w:rsidRDefault="00000000">
      <w:pPr>
        <w:spacing w:after="140"/>
      </w:pPr>
      <w:r>
        <w:rPr>
          <w:b/>
          <w:color w:val="935137"/>
          <w:sz w:val="22"/>
        </w:rPr>
        <w:lastRenderedPageBreak/>
        <w:t>CORRIGÉ • TRADUIRE AVANT DE CONCLURE</w:t>
      </w:r>
    </w:p>
    <w:p w14:paraId="3E5C2604" w14:textId="77777777" w:rsidR="006D2E3B" w:rsidRDefault="00000000">
      <w:pPr>
        <w:spacing w:before="80"/>
      </w:pPr>
      <w:r>
        <w:rPr>
          <w:b/>
          <w:sz w:val="34"/>
        </w:rPr>
        <w:t>3. Le chantier de Rome  |  code 259</w:t>
      </w:r>
    </w:p>
    <w:p w14:paraId="702B4E97" w14:textId="77777777" w:rsidR="006D2E3B" w:rsidRDefault="00000000">
      <w:pPr>
        <w:spacing w:after="60"/>
      </w:pPr>
      <w:r>
        <w:rPr>
          <w:b/>
          <w:color w:val="935137"/>
          <w:sz w:val="22"/>
        </w:rPr>
        <w:t>Suétone, Vie de Néron, 16, 1 — extrait.</w:t>
      </w:r>
    </w:p>
    <w:p w14:paraId="4872E500" w14:textId="77777777" w:rsidR="006D2E3B" w:rsidRDefault="00000000">
      <w:pPr>
        <w:spacing w:after="100"/>
      </w:pPr>
      <w:r>
        <w:rPr>
          <w:color w:val="A12D31"/>
        </w:rPr>
        <w:t>Il conçut une nouvelle disposition des bâtiments de la ville, avec des portiques devant les immeubles et les maisons, depuis les terrasses desquels on pourrait repousser les incendies ; et il les fit construire à ses frais.</w:t>
      </w:r>
    </w:p>
    <w:p w14:paraId="7AC80B49" w14:textId="77777777" w:rsidR="006D2E3B" w:rsidRDefault="00000000">
      <w:r>
        <w:rPr>
          <w:b/>
          <w:color w:val="A12D31"/>
          <w:sz w:val="22"/>
        </w:rPr>
        <w:t>Preuves, dans l’ordre : ante insulas ac domos porticus ; de quarum solariis incendia arcerentur ; sumptu suo.</w:t>
      </w:r>
    </w:p>
    <w:p w14:paraId="6765EB00" w14:textId="77777777" w:rsidR="006D2E3B" w:rsidRDefault="00000000">
      <w:r>
        <w:rPr>
          <w:color w:val="A12D31"/>
          <w:sz w:val="22"/>
        </w:rPr>
        <w:t>Cartes écartées : 1 change les bâtiments concernés. 7 change l’usage. 4 contredit suo.</w:t>
      </w:r>
    </w:p>
    <w:p w14:paraId="4BF54607" w14:textId="77777777" w:rsidR="006D2E3B" w:rsidRDefault="00000000">
      <w:pPr>
        <w:spacing w:after="100"/>
      </w:pPr>
      <w:r>
        <w:rPr>
          <w:color w:val="A12D31"/>
        </w:rPr>
        <w:t>Réponse critique : Le passage rapporte un dispositif de lutte contre les incendies, financé par le prince. Une source critique peut conserver des mesures favorables. Utilité publique et valorisation du pouvoir ne s’excluent pas.</w:t>
      </w:r>
    </w:p>
    <w:p w14:paraId="1B8C4B05" w14:textId="77777777" w:rsidR="006D2E3B" w:rsidRDefault="00000000">
      <w:pPr>
        <w:spacing w:after="160"/>
      </w:pPr>
      <w:r>
        <w:rPr>
          <w:sz w:val="22"/>
        </w:rPr>
        <w:t>Indice 1 — ante permet de situer les portiques. Cherchez ensuite leur fonction.</w:t>
      </w:r>
      <w:r>
        <w:rPr>
          <w:sz w:val="22"/>
        </w:rPr>
        <w:br/>
        <w:t>Indice 2 — Les pronoms quarum et eas renvoient aux portiques ; suo renvoie au sujet Néron.</w:t>
      </w:r>
    </w:p>
    <w:p w14:paraId="7026B570" w14:textId="77777777" w:rsidR="006D2E3B" w:rsidRDefault="00000000">
      <w:pPr>
        <w:spacing w:before="80"/>
      </w:pPr>
      <w:r>
        <w:rPr>
          <w:b/>
          <w:sz w:val="34"/>
        </w:rPr>
        <w:t>4. La rumeur et les accusés  |  code 934</w:t>
      </w:r>
    </w:p>
    <w:p w14:paraId="180B737D" w14:textId="77777777" w:rsidR="006D2E3B" w:rsidRDefault="00000000">
      <w:pPr>
        <w:spacing w:after="60"/>
      </w:pPr>
      <w:r>
        <w:rPr>
          <w:b/>
          <w:color w:val="935137"/>
          <w:sz w:val="22"/>
        </w:rPr>
        <w:t>Tacite, Annales, XV, 44, 2 — extrait.</w:t>
      </w:r>
    </w:p>
    <w:p w14:paraId="0A5A482C" w14:textId="77777777" w:rsidR="006D2E3B" w:rsidRDefault="00000000">
      <w:pPr>
        <w:spacing w:after="100"/>
      </w:pPr>
      <w:r>
        <w:rPr>
          <w:color w:val="A12D31"/>
        </w:rPr>
        <w:t>Donc, pour étouffer la rumeur, Néron produisit des accusés et infligea les supplices les plus recherchés à ceux que la foule appelait chrétiens, détestés pour leurs actions honteuses.</w:t>
      </w:r>
    </w:p>
    <w:p w14:paraId="448F7795" w14:textId="77777777" w:rsidR="006D2E3B" w:rsidRDefault="00000000">
      <w:r>
        <w:rPr>
          <w:b/>
          <w:color w:val="A12D31"/>
          <w:sz w:val="22"/>
        </w:rPr>
        <w:t>Preuves, dans l’ordre : abolendo rumori ; Nero subdidit reos ; vulgus Christianos appellabat.</w:t>
      </w:r>
    </w:p>
    <w:p w14:paraId="4EEB606D" w14:textId="77777777" w:rsidR="006D2E3B" w:rsidRDefault="00000000">
      <w:r>
        <w:rPr>
          <w:color w:val="A12D31"/>
          <w:sz w:val="22"/>
        </w:rPr>
        <w:t>Cartes écartées : 1 transforme le soupçon en démonstration. 6 inverse l’agent et les victimes. 7 désigne les mauvaises personnes.</w:t>
      </w:r>
    </w:p>
    <w:p w14:paraId="36DF1282" w14:textId="77777777" w:rsidR="006D2E3B" w:rsidRDefault="00000000">
      <w:pPr>
        <w:spacing w:after="100"/>
      </w:pPr>
      <w:r>
        <w:rPr>
          <w:color w:val="A12D31"/>
        </w:rPr>
        <w:t>Réponse critique : La traduction conserve le jugement dépréciatif de l’auteur. « Actions honteuses » ne vaut pas preuve indépendante contre les chrétiens. Tacite relie leur persécution à une diversion politique. L’incertitude sur l’origine du feu ne diminue pas la gravité des supplices.</w:t>
      </w:r>
    </w:p>
    <w:p w14:paraId="26D5E80F" w14:textId="77777777" w:rsidR="006D2E3B" w:rsidRDefault="00000000">
      <w:pPr>
        <w:spacing w:after="160"/>
      </w:pPr>
      <w:r>
        <w:rPr>
          <w:sz w:val="22"/>
        </w:rPr>
        <w:t>Indice 1 — Distinguez la raison donnée au début, les verbes d’action et la relative finale.</w:t>
      </w:r>
      <w:r>
        <w:rPr>
          <w:sz w:val="22"/>
        </w:rPr>
        <w:br/>
        <w:t>Indice 2 — Nero est le sujet de subdidit et adfecit ; vulgus est le sujet d’appellabat.</w:t>
      </w:r>
    </w:p>
    <w:p w14:paraId="77345153" w14:textId="77777777" w:rsidR="006D2E3B" w:rsidRDefault="00000000">
      <w:r>
        <w:br w:type="page"/>
      </w:r>
    </w:p>
    <w:p w14:paraId="2D20E11A" w14:textId="77777777" w:rsidR="006D2E3B" w:rsidRDefault="00000000">
      <w:pPr>
        <w:spacing w:after="140"/>
      </w:pPr>
      <w:r>
        <w:rPr>
          <w:b/>
          <w:color w:val="935137"/>
          <w:sz w:val="22"/>
        </w:rPr>
        <w:lastRenderedPageBreak/>
        <w:t>CORRIGÉ • TRADUIRE AVANT DE CONCLURE</w:t>
      </w:r>
    </w:p>
    <w:p w14:paraId="61687756" w14:textId="77777777" w:rsidR="006D2E3B" w:rsidRDefault="00000000">
      <w:pPr>
        <w:spacing w:before="80"/>
      </w:pPr>
      <w:r>
        <w:rPr>
          <w:b/>
          <w:sz w:val="34"/>
        </w:rPr>
        <w:t>5. Le prince et la scène  |  code 627</w:t>
      </w:r>
    </w:p>
    <w:p w14:paraId="7FB716B9" w14:textId="77777777" w:rsidR="006D2E3B" w:rsidRDefault="00000000">
      <w:pPr>
        <w:spacing w:after="60"/>
      </w:pPr>
      <w:r>
        <w:rPr>
          <w:b/>
          <w:color w:val="935137"/>
          <w:sz w:val="22"/>
        </w:rPr>
        <w:t>Suétone, Vie de Néron, 20, 1 — extrait.</w:t>
      </w:r>
    </w:p>
    <w:p w14:paraId="2DEFBA68" w14:textId="77777777" w:rsidR="006D2E3B" w:rsidRDefault="00000000">
      <w:pPr>
        <w:spacing w:after="100"/>
      </w:pPr>
      <w:r>
        <w:rPr>
          <w:color w:val="A12D31"/>
        </w:rPr>
        <w:t>Formé, parmi les autres apprentissages de son enfance, également à la musique, il fit venir, dès qu’il eut obtenu le pouvoir, Terpnus, le citharède alors le plus renommé […].</w:t>
      </w:r>
    </w:p>
    <w:p w14:paraId="60CF03B7" w14:textId="77777777" w:rsidR="006D2E3B" w:rsidRDefault="00000000">
      <w:r>
        <w:rPr>
          <w:b/>
          <w:color w:val="A12D31"/>
          <w:sz w:val="22"/>
        </w:rPr>
        <w:t>Preuves, dans l’ordre : pueritiae tempore imbutus et musica ; imperium adeptus est ; Terpnum citharoedum […] arcessiit.</w:t>
      </w:r>
    </w:p>
    <w:p w14:paraId="00CE7ED1" w14:textId="77777777" w:rsidR="006D2E3B" w:rsidRDefault="00000000">
      <w:r>
        <w:rPr>
          <w:color w:val="A12D31"/>
          <w:sz w:val="22"/>
        </w:rPr>
        <w:t>Cartes écartées : 1 n’est pas raconté. 4 transforme le citharède en général. 8 change le personnage qui obtient l’empire.</w:t>
      </w:r>
    </w:p>
    <w:p w14:paraId="0CE3CAA8" w14:textId="77777777" w:rsidR="006D2E3B" w:rsidRDefault="00000000">
      <w:pPr>
        <w:spacing w:after="100"/>
      </w:pPr>
      <w:r>
        <w:rPr>
          <w:color w:val="A12D31"/>
        </w:rPr>
        <w:t>Réponse critique : L’extrait rapporte une formation et une invitation, pas une preuve de cruauté. On contextualise ensuite le rejet aristocratique de la scène et de l’exposition du prince. Ce rejet culturel n’annule ni les autres critiques ni les violences du règne.</w:t>
      </w:r>
    </w:p>
    <w:p w14:paraId="19E24163" w14:textId="77777777" w:rsidR="006D2E3B" w:rsidRDefault="00000000">
      <w:pPr>
        <w:spacing w:after="160"/>
      </w:pPr>
      <w:r>
        <w:rPr>
          <w:sz w:val="22"/>
        </w:rPr>
        <w:t>Indice 1 — pueritiae tempore et statim ut donnent les deux repères chronologiques.</w:t>
      </w:r>
      <w:r>
        <w:rPr>
          <w:sz w:val="22"/>
        </w:rPr>
        <w:br/>
        <w:t>Indice 2 — Le groupe Terpnum citharoedum est complément d’arcessiit ; il ne désigne pas un nouvel empereur.</w:t>
      </w:r>
    </w:p>
    <w:p w14:paraId="17F33458" w14:textId="77777777" w:rsidR="006D2E3B" w:rsidRDefault="00000000">
      <w:pPr>
        <w:spacing w:before="80"/>
      </w:pPr>
      <w:r>
        <w:rPr>
          <w:b/>
          <w:sz w:val="34"/>
        </w:rPr>
        <w:t>6. Un palais, deux noms  |  code 548</w:t>
      </w:r>
    </w:p>
    <w:p w14:paraId="682BC6BB" w14:textId="77777777" w:rsidR="006D2E3B" w:rsidRDefault="00000000">
      <w:pPr>
        <w:spacing w:after="60"/>
      </w:pPr>
      <w:r>
        <w:rPr>
          <w:b/>
          <w:color w:val="935137"/>
          <w:sz w:val="22"/>
        </w:rPr>
        <w:t>Suétone, Vie de Néron, 31, 1 — extrait.</w:t>
      </w:r>
    </w:p>
    <w:p w14:paraId="7273E350" w14:textId="77777777" w:rsidR="006D2E3B" w:rsidRDefault="00000000">
      <w:pPr>
        <w:spacing w:after="100"/>
      </w:pPr>
      <w:r>
        <w:rPr>
          <w:color w:val="A12D31"/>
        </w:rPr>
        <w:t>Il ne fut pourtant dans aucun domaine plus dépensier que dans la construction : il fit bâtir un palais du Palatin jusqu’à l’Esquilin ; il le nomma d’abord Transitoria, puis, après sa destruction par l’incendie et sa reconstruction, Aurea, « Maison d’Or ».</w:t>
      </w:r>
    </w:p>
    <w:p w14:paraId="62E46175" w14:textId="77777777" w:rsidR="006D2E3B" w:rsidRDefault="00000000">
      <w:r>
        <w:rPr>
          <w:b/>
          <w:color w:val="A12D31"/>
          <w:sz w:val="22"/>
        </w:rPr>
        <w:t>Preuves, dans l’ordre : a Palatio Esquilias usque ; primo transitoriam […] auream nominavit ; damnosior.</w:t>
      </w:r>
    </w:p>
    <w:p w14:paraId="6E7BA6D5" w14:textId="77777777" w:rsidR="006D2E3B" w:rsidRDefault="00000000">
      <w:r>
        <w:rPr>
          <w:color w:val="A12D31"/>
          <w:sz w:val="22"/>
        </w:rPr>
        <w:t>Cartes écartées : 1 change les lieux. 3 inverse les noms. 6 efface le jugement porté par damnosior.</w:t>
      </w:r>
    </w:p>
    <w:p w14:paraId="18BC37B6" w14:textId="77777777" w:rsidR="006D2E3B" w:rsidRDefault="00000000">
      <w:pPr>
        <w:spacing w:after="100"/>
      </w:pPr>
      <w:r>
        <w:rPr>
          <w:color w:val="A12D31"/>
        </w:rPr>
        <w:t>Réponse critique : Le luxe du palais, surtout dans le contexte de l’incendie, nourrit une critique du pouvoir. damnosior est évaluatif ; les lieux et la succession des noms relèvent d’une description. Cela ne démontre pas que le palais prouve une commande de l’incendie.</w:t>
      </w:r>
    </w:p>
    <w:p w14:paraId="07B1FE0A" w14:textId="77777777" w:rsidR="006D2E3B" w:rsidRDefault="00000000">
      <w:pPr>
        <w:spacing w:after="160"/>
      </w:pPr>
      <w:r>
        <w:rPr>
          <w:sz w:val="22"/>
        </w:rPr>
        <w:t>Indice 1 — Repérez les compléments introduits par a et usque, puis primo et mox.</w:t>
      </w:r>
      <w:r>
        <w:rPr>
          <w:sz w:val="22"/>
        </w:rPr>
        <w:br/>
        <w:t>Indice 2 — Cherchez le comparatif qui exprime une appréciation sur le coût, non une dimension.</w:t>
      </w:r>
    </w:p>
    <w:p w14:paraId="526B6C98" w14:textId="77777777" w:rsidR="006D2E3B" w:rsidRDefault="00000000">
      <w:r>
        <w:br w:type="page"/>
      </w:r>
    </w:p>
    <w:tbl>
      <w:tblPr>
        <w:tblW w:w="0" w:type="auto"/>
        <w:jc w:val="center"/>
        <w:tblBorders>
          <w:top w:val="nil"/>
          <w:left w:val="nil"/>
          <w:bottom w:val="nil"/>
          <w:right w:val="nil"/>
          <w:insideH w:val="nil"/>
          <w:insideV w:val="nil"/>
        </w:tblBorders>
        <w:tblLayout w:type="fixed"/>
        <w:tblLook w:val="04A0" w:firstRow="1" w:lastRow="0" w:firstColumn="1" w:lastColumn="0" w:noHBand="0" w:noVBand="1"/>
      </w:tblPr>
      <w:tblGrid>
        <w:gridCol w:w="8050"/>
        <w:gridCol w:w="2494"/>
      </w:tblGrid>
      <w:tr w:rsidR="006D2E3B" w14:paraId="265FF3F0" w14:textId="77777777">
        <w:trPr>
          <w:cantSplit/>
          <w:jc w:val="center"/>
        </w:trPr>
        <w:tc>
          <w:tcPr>
            <w:tcW w:w="8050" w:type="dxa"/>
            <w:tcMar>
              <w:top w:w="85" w:type="dxa"/>
              <w:left w:w="85" w:type="dxa"/>
              <w:bottom w:w="85" w:type="dxa"/>
              <w:right w:w="85" w:type="dxa"/>
            </w:tcMar>
            <w:vAlign w:val="center"/>
          </w:tcPr>
          <w:p w14:paraId="7E31EE70" w14:textId="77777777" w:rsidR="006D2E3B" w:rsidRDefault="00000000">
            <w:pPr>
              <w:spacing w:after="60" w:line="247" w:lineRule="auto"/>
            </w:pPr>
            <w:r>
              <w:rPr>
                <w:b/>
                <w:color w:val="935137"/>
                <w:sz w:val="22"/>
              </w:rPr>
              <w:lastRenderedPageBreak/>
              <w:t>CORRIGÉ • PIÈCE F ET BILAN</w:t>
            </w:r>
          </w:p>
          <w:p w14:paraId="5C953C1E" w14:textId="77777777" w:rsidR="006D2E3B" w:rsidRDefault="00000000">
            <w:pPr>
              <w:spacing w:after="0" w:line="247" w:lineRule="auto"/>
            </w:pPr>
            <w:r>
              <w:rPr>
                <w:b/>
                <w:sz w:val="44"/>
              </w:rPr>
              <w:t>Une mémoire divisée</w:t>
            </w:r>
          </w:p>
        </w:tc>
        <w:tc>
          <w:tcPr>
            <w:tcW w:w="2494" w:type="dxa"/>
            <w:tcMar>
              <w:top w:w="85" w:type="dxa"/>
              <w:left w:w="85" w:type="dxa"/>
              <w:bottom w:w="85" w:type="dxa"/>
              <w:right w:w="85" w:type="dxa"/>
            </w:tcMar>
            <w:vAlign w:val="center"/>
          </w:tcPr>
          <w:p w14:paraId="64302748" w14:textId="77777777" w:rsidR="006D2E3B" w:rsidRDefault="00000000">
            <w:pPr>
              <w:spacing w:after="0"/>
              <w:jc w:val="center"/>
            </w:pPr>
            <w:r>
              <w:rPr>
                <w:noProof/>
              </w:rPr>
              <w:drawing>
                <wp:inline distT="0" distB="0" distL="0" distR="0" wp14:anchorId="105AC492" wp14:editId="0533C0A7">
                  <wp:extent cx="671343" cy="1008000"/>
                  <wp:effectExtent l="0" t="0" r="0" b="0"/>
                  <wp:docPr id="2" name="Picture 2" descr="Photographie détourée de musicien sculpté, repère visu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usicien.png"/>
                          <pic:cNvPicPr/>
                        </pic:nvPicPr>
                        <pic:blipFill>
                          <a:blip r:embed="rId9"/>
                          <a:stretch>
                            <a:fillRect/>
                          </a:stretch>
                        </pic:blipFill>
                        <pic:spPr>
                          <a:xfrm>
                            <a:off x="0" y="0"/>
                            <a:ext cx="671343" cy="1008000"/>
                          </a:xfrm>
                          <a:prstGeom prst="rect">
                            <a:avLst/>
                          </a:prstGeom>
                        </pic:spPr>
                      </pic:pic>
                    </a:graphicData>
                  </a:graphic>
                </wp:inline>
              </w:drawing>
            </w:r>
          </w:p>
        </w:tc>
      </w:tr>
    </w:tbl>
    <w:p w14:paraId="4A1DFE8D" w14:textId="77777777" w:rsidR="006D2E3B" w:rsidRDefault="006D2E3B">
      <w:pPr>
        <w:spacing w:after="0"/>
      </w:pPr>
    </w:p>
    <w:p w14:paraId="7BBB422F" w14:textId="77777777" w:rsidR="006D2E3B" w:rsidRDefault="00000000">
      <w:r>
        <w:rPr>
          <w:b/>
          <w:color w:val="935137"/>
        </w:rPr>
        <w:t>Pièce F : Suétone, Vie de Néron, 57, 1.</w:t>
      </w:r>
    </w:p>
    <w:p w14:paraId="59E6F28B" w14:textId="77777777" w:rsidR="006D2E3B" w:rsidRDefault="00000000">
      <w:pPr>
        <w:spacing w:after="120"/>
      </w:pPr>
      <w:r>
        <w:rPr>
          <w:color w:val="A12D31"/>
          <w:sz w:val="28"/>
        </w:rPr>
        <w:t>« Et pourtant il ne manqua pas de gens qui, pendant longtemps, ornèrent son tombeau de fleurs du printemps et de l’été […]. »</w:t>
      </w:r>
    </w:p>
    <w:p w14:paraId="0BF3A6E0" w14:textId="77777777" w:rsidR="006D2E3B" w:rsidRDefault="00000000">
      <w:pPr>
        <w:spacing w:after="140"/>
      </w:pPr>
      <w:r>
        <w:rPr>
          <w:color w:val="A12D31"/>
        </w:rPr>
        <w:t>Ce témoignage interdit d’affirmer que tous détestaient Néron, même après sa mort. Il n’indique ni combien de personnes agissaient ainsi, ni la proportion de la population qu’elles représentaient. Il ne prouve pas non plus l’innocence de l’empereur.</w:t>
      </w:r>
    </w:p>
    <w:p w14:paraId="1D5593D4" w14:textId="77777777" w:rsidR="006D2E3B" w:rsidRDefault="00000000">
      <w:pPr>
        <w:pStyle w:val="Titre2"/>
        <w:spacing w:before="80" w:after="60"/>
      </w:pPr>
      <w:r>
        <w:rPr>
          <w:rFonts w:ascii="Arial" w:hAnsi="Arial"/>
          <w:b w:val="0"/>
        </w:rPr>
        <w:t>Ce qui valide le verdict</w:t>
      </w:r>
    </w:p>
    <w:p w14:paraId="7714E52F" w14:textId="77777777" w:rsidR="006D2E3B" w:rsidRDefault="00000000">
      <w:pPr>
        <w:spacing w:after="120"/>
      </w:pPr>
      <w:r>
        <w:t>L’équipe doit mobiliser au moins trois dossiers et F ; identifier une mesure favorable, une violence dénoncée, deux ressorts de l’hostilité ; distinguer ce que dit l’auteur de ce que l’on peut établir. Ne pas noter l’adhésion à une réhabilitation ou à une condamnation globale.</w:t>
      </w:r>
    </w:p>
    <w:p w14:paraId="77A92C9D" w14:textId="77777777" w:rsidR="006D2E3B" w:rsidRDefault="00000000">
      <w:pPr>
        <w:pStyle w:val="Titre2"/>
        <w:spacing w:before="80" w:after="60"/>
      </w:pPr>
      <w:r>
        <w:rPr>
          <w:rFonts w:ascii="Arial" w:hAnsi="Arial"/>
          <w:b w:val="0"/>
        </w:rPr>
        <w:t>Un exemple de conclusion recevable</w:t>
      </w:r>
    </w:p>
    <w:p w14:paraId="30217C7F" w14:textId="77777777" w:rsidR="006D2E3B" w:rsidRDefault="00000000">
      <w:pPr>
        <w:spacing w:after="160"/>
      </w:pPr>
      <w:r>
        <w:rPr>
          <w:color w:val="A12D31"/>
        </w:rPr>
        <w:t>Néron ne peut être réduit à un portrait unique. Tacite rapporte des secours pour les sinistrés ; Suétone mentionne des portiques utiles contre les incendies. Mais Tacite décrit aussi la persécution des chrétiens. Les dépenses du palais et le décalage entre un prince artiste et certaines attentes aristocratiques éclairent d’autres critiques. Les auteurs postérieurs au règne mêlent récits et jugements : une mesure favorable n’efface pas un crime, et une rumeur n’est pas une preuve. Suétone signale enfin que certains continuaient à fleurir le tombeau de Néron. Sa mémoire n’était donc pas unanimement hostile.</w:t>
      </w:r>
    </w:p>
    <w:p w14:paraId="0FB1D88D" w14:textId="77777777" w:rsidR="006D2E3B" w:rsidRDefault="00000000">
      <w:pPr>
        <w:pStyle w:val="Titre2"/>
        <w:spacing w:before="80" w:after="60"/>
      </w:pPr>
      <w:r>
        <w:rPr>
          <w:rFonts w:ascii="Arial" w:hAnsi="Arial"/>
          <w:b w:val="0"/>
        </w:rPr>
        <w:t>Points de vigilance historique</w:t>
      </w:r>
    </w:p>
    <w:p w14:paraId="34CD467B" w14:textId="77777777" w:rsidR="006D2E3B" w:rsidRDefault="00000000">
      <w:pPr>
        <w:spacing w:after="100"/>
      </w:pPr>
      <w:r>
        <w:t>Ne pas jouer un tribunal où les victimes auraient à prouver leur valeur. La mission 4 étudie le récit d’une persécution, sans scène de supplice à mimer. Le vocabulaire hostile de Tacite doit être attribué à l’auteur, non validé comme une preuve contre les chrétiens.</w:t>
      </w:r>
    </w:p>
    <w:p w14:paraId="523F7332" w14:textId="1E3139E8" w:rsidR="006D2E3B" w:rsidRDefault="00000000" w:rsidP="00845D54">
      <w:pPr>
        <w:spacing w:after="100"/>
      </w:pPr>
      <w:r>
        <w:t xml:space="preserve">Le scénario est celui d’archives d’exposition, pas celui de témoins réunis en 68 : Tacite et Suétone écrivent après le règne. Le dossier 5 fournit un apprentissage </w:t>
      </w:r>
      <w:proofErr w:type="gramStart"/>
      <w:r>
        <w:t>musical ;</w:t>
      </w:r>
      <w:proofErr w:type="gramEnd"/>
      <w:r>
        <w:t xml:space="preserve"> le rejet aristocratique doit être contextualisé, non présenté comme une phrase explicitement </w:t>
      </w:r>
      <w:proofErr w:type="spellStart"/>
      <w:r>
        <w:t>traduite</w:t>
      </w:r>
      <w:proofErr w:type="spellEnd"/>
      <w:r>
        <w:t xml:space="preserve"> dans </w:t>
      </w:r>
      <w:proofErr w:type="spellStart"/>
      <w:r>
        <w:t>cet</w:t>
      </w:r>
      <w:proofErr w:type="spellEnd"/>
      <w:r>
        <w:t xml:space="preserve"> extrait.</w:t>
      </w:r>
    </w:p>
    <w:sectPr w:rsidR="006D2E3B" w:rsidSect="00034616">
      <w:footerReference w:type="default" r:id="rId10"/>
      <w:pgSz w:w="11906" w:h="16838"/>
      <w:pgMar w:top="680" w:right="680" w:bottom="680" w:left="680" w:header="227" w:footer="283"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BB4A9F1" w14:textId="77777777" w:rsidR="0025062E" w:rsidRDefault="0025062E">
      <w:pPr>
        <w:spacing w:after="0" w:line="240" w:lineRule="auto"/>
      </w:pPr>
      <w:r>
        <w:separator/>
      </w:r>
    </w:p>
  </w:endnote>
  <w:endnote w:type="continuationSeparator" w:id="0">
    <w:p w14:paraId="3AD6A6DC" w14:textId="77777777" w:rsidR="0025062E" w:rsidRDefault="002506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C865354" w14:textId="77777777" w:rsidR="006D2E3B" w:rsidRDefault="00000000">
    <w:pPr>
      <w:pStyle w:val="Pieddepage"/>
      <w:jc w:val="right"/>
    </w:pPr>
    <w:r>
      <w:rPr>
        <w:color w:val="646464"/>
        <w:sz w:val="18"/>
      </w:rPr>
      <w:t xml:space="preserve">Ludi • </w:t>
    </w:r>
    <w:proofErr w:type="spellStart"/>
    <w:r>
      <w:rPr>
        <w:color w:val="646464"/>
        <w:sz w:val="18"/>
      </w:rPr>
      <w:t>Néron</w:t>
    </w:r>
    <w:proofErr w:type="spellEnd"/>
    <w:r>
      <w:rPr>
        <w:color w:val="646464"/>
        <w:sz w:val="18"/>
      </w:rPr>
      <w:t xml:space="preserve"> | Guide </w:t>
    </w:r>
    <w:proofErr w:type="spellStart"/>
    <w:r>
      <w:rPr>
        <w:color w:val="646464"/>
        <w:sz w:val="18"/>
      </w:rPr>
      <w:t>enseignant</w:t>
    </w:r>
    <w:proofErr w:type="spellEnd"/>
    <w:r>
      <w:rPr>
        <w:color w:val="646464"/>
        <w:sz w:val="18"/>
      </w:rPr>
      <w:t xml:space="preserve"> — </w:t>
    </w:r>
    <w:proofErr w:type="spellStart"/>
    <w:r>
      <w:rPr>
        <w:color w:val="646464"/>
        <w:sz w:val="18"/>
      </w:rPr>
      <w:t>réponses</w:t>
    </w:r>
    <w:proofErr w:type="spellEnd"/>
    <w:r>
      <w:rPr>
        <w:color w:val="646464"/>
        <w:sz w:val="18"/>
      </w:rPr>
      <w:t xml:space="preserve"> | </w:t>
    </w:r>
    <w:r>
      <w:fldChar w:fldCharType="begin"/>
    </w:r>
    <w:r>
      <w:instrText>PAGE</w:instrText>
    </w:r>
    <w:r>
      <w:fldChar w:fldCharType="separate"/>
    </w:r>
    <w:r w:rsidR="00845D54">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D32BD2C" w14:textId="77777777" w:rsidR="0025062E" w:rsidRDefault="0025062E">
      <w:pPr>
        <w:spacing w:after="0" w:line="240" w:lineRule="auto"/>
      </w:pPr>
      <w:r>
        <w:separator/>
      </w:r>
    </w:p>
  </w:footnote>
  <w:footnote w:type="continuationSeparator" w:id="0">
    <w:p w14:paraId="6A47D7FA" w14:textId="77777777" w:rsidR="0025062E" w:rsidRDefault="0025062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enumros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enumros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epuces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epuces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enumros"/>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epuces"/>
      <w:lvlText w:val=""/>
      <w:lvlJc w:val="left"/>
      <w:pPr>
        <w:tabs>
          <w:tab w:val="num" w:pos="360"/>
        </w:tabs>
        <w:ind w:left="360" w:hanging="360"/>
      </w:pPr>
      <w:rPr>
        <w:rFonts w:ascii="Symbol" w:hAnsi="Symbol" w:hint="default"/>
      </w:rPr>
    </w:lvl>
  </w:abstractNum>
  <w:num w:numId="1" w16cid:durableId="2124838054">
    <w:abstractNumId w:val="8"/>
  </w:num>
  <w:num w:numId="2" w16cid:durableId="52503874">
    <w:abstractNumId w:val="6"/>
  </w:num>
  <w:num w:numId="3" w16cid:durableId="1826241439">
    <w:abstractNumId w:val="5"/>
  </w:num>
  <w:num w:numId="4" w16cid:durableId="1460880827">
    <w:abstractNumId w:val="4"/>
  </w:num>
  <w:num w:numId="5" w16cid:durableId="893662106">
    <w:abstractNumId w:val="7"/>
  </w:num>
  <w:num w:numId="6" w16cid:durableId="995184453">
    <w:abstractNumId w:val="3"/>
  </w:num>
  <w:num w:numId="7" w16cid:durableId="403457396">
    <w:abstractNumId w:val="2"/>
  </w:num>
  <w:num w:numId="8" w16cid:durableId="535199534">
    <w:abstractNumId w:val="1"/>
  </w:num>
  <w:num w:numId="9" w16cid:durableId="71508692">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9"/>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5062E"/>
    <w:rsid w:val="0029639D"/>
    <w:rsid w:val="00326F90"/>
    <w:rsid w:val="006D2E3B"/>
    <w:rsid w:val="00845D54"/>
    <w:rsid w:val="008D0338"/>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6C2ECB9"/>
  <w14:defaultImageDpi w14:val="300"/>
  <w15:docId w15:val="{799727E7-13AE-0B4B-B690-5E4BA39C65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80" w:line="257" w:lineRule="auto"/>
    </w:pPr>
    <w:rPr>
      <w:rFonts w:ascii="Arial" w:hAnsi="Arial"/>
      <w:color w:val="243D48"/>
      <w:sz w:val="24"/>
    </w:rPr>
  </w:style>
  <w:style w:type="paragraph" w:styleId="Titre1">
    <w:name w:val="heading 1"/>
    <w:basedOn w:val="Normal"/>
    <w:next w:val="Normal"/>
    <w:link w:val="Titre1Car"/>
    <w:uiPriority w:val="9"/>
    <w:qFormat/>
    <w:rsid w:val="00FC693F"/>
    <w:pPr>
      <w:keepNext/>
      <w:keepLines/>
      <w:spacing w:before="480"/>
      <w:outlineLvl w:val="0"/>
    </w:pPr>
    <w:rPr>
      <w:rFonts w:asciiTheme="majorHAnsi" w:eastAsiaTheme="majorEastAsia" w:hAnsiTheme="majorHAnsi" w:cstheme="majorBidi"/>
      <w:b/>
      <w:bCs/>
      <w:sz w:val="40"/>
      <w:szCs w:val="28"/>
    </w:rPr>
  </w:style>
  <w:style w:type="paragraph" w:styleId="Titre2">
    <w:name w:val="heading 2"/>
    <w:basedOn w:val="Normal"/>
    <w:next w:val="Normal"/>
    <w:link w:val="Titre2Car"/>
    <w:uiPriority w:val="9"/>
    <w:unhideWhenUsed/>
    <w:qFormat/>
    <w:rsid w:val="00FC693F"/>
    <w:pPr>
      <w:keepNext/>
      <w:keepLines/>
      <w:spacing w:before="200"/>
      <w:outlineLvl w:val="1"/>
    </w:pPr>
    <w:rPr>
      <w:rFonts w:asciiTheme="majorHAnsi" w:eastAsiaTheme="majorEastAsia" w:hAnsiTheme="majorHAnsi" w:cstheme="majorBidi"/>
      <w:b/>
      <w:bCs/>
      <w:color w:val="935137"/>
      <w:sz w:val="30"/>
      <w:szCs w:val="26"/>
    </w:rPr>
  </w:style>
  <w:style w:type="paragraph" w:styleId="Titre3">
    <w:name w:val="heading 3"/>
    <w:basedOn w:val="Normal"/>
    <w:next w:val="Normal"/>
    <w:link w:val="Titre3Car"/>
    <w:uiPriority w:val="9"/>
    <w:unhideWhenUsed/>
    <w:qFormat/>
    <w:rsid w:val="00FC693F"/>
    <w:pPr>
      <w:keepNext/>
      <w:keepLines/>
      <w:spacing w:before="200"/>
      <w:outlineLvl w:val="2"/>
    </w:pPr>
    <w:rPr>
      <w:rFonts w:asciiTheme="majorHAnsi" w:eastAsiaTheme="majorEastAsia" w:hAnsiTheme="majorHAnsi" w:cstheme="majorBidi"/>
      <w:b/>
      <w:bCs/>
      <w:color w:val="935137"/>
      <w:sz w:val="26"/>
    </w:rPr>
  </w:style>
  <w:style w:type="paragraph" w:styleId="Titre4">
    <w:name w:val="heading 4"/>
    <w:basedOn w:val="Normal"/>
    <w:next w:val="Normal"/>
    <w:link w:val="Titre4C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Titre5">
    <w:name w:val="heading 5"/>
    <w:basedOn w:val="Normal"/>
    <w:next w:val="Normal"/>
    <w:link w:val="Titre5C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Titre6">
    <w:name w:val="heading 6"/>
    <w:basedOn w:val="Normal"/>
    <w:next w:val="Normal"/>
    <w:link w:val="Titre6C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itre7">
    <w:name w:val="heading 7"/>
    <w:basedOn w:val="Normal"/>
    <w:next w:val="Normal"/>
    <w:link w:val="Titre7C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itre8">
    <w:name w:val="heading 8"/>
    <w:basedOn w:val="Normal"/>
    <w:next w:val="Normal"/>
    <w:link w:val="Titre8C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Titre9">
    <w:name w:val="heading 9"/>
    <w:basedOn w:val="Normal"/>
    <w:next w:val="Normal"/>
    <w:link w:val="Titre9C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E618BF"/>
    <w:pPr>
      <w:tabs>
        <w:tab w:val="center" w:pos="4680"/>
        <w:tab w:val="right" w:pos="9360"/>
      </w:tabs>
      <w:spacing w:after="0" w:line="240" w:lineRule="auto"/>
    </w:pPr>
  </w:style>
  <w:style w:type="character" w:customStyle="1" w:styleId="En-tteCar">
    <w:name w:val="En-tête Car"/>
    <w:basedOn w:val="Policepardfaut"/>
    <w:link w:val="En-tte"/>
    <w:uiPriority w:val="99"/>
    <w:rsid w:val="00E618BF"/>
  </w:style>
  <w:style w:type="paragraph" w:styleId="Pieddepage">
    <w:name w:val="footer"/>
    <w:basedOn w:val="Normal"/>
    <w:link w:val="PieddepageCar"/>
    <w:uiPriority w:val="99"/>
    <w:unhideWhenUsed/>
    <w:rsid w:val="00E618BF"/>
    <w:pPr>
      <w:tabs>
        <w:tab w:val="center" w:pos="4680"/>
        <w:tab w:val="right" w:pos="9360"/>
      </w:tabs>
      <w:spacing w:after="0" w:line="240" w:lineRule="auto"/>
    </w:pPr>
  </w:style>
  <w:style w:type="character" w:customStyle="1" w:styleId="PieddepageCar">
    <w:name w:val="Pied de page Car"/>
    <w:basedOn w:val="Policepardfaut"/>
    <w:link w:val="Pieddepage"/>
    <w:uiPriority w:val="99"/>
    <w:rsid w:val="00E618BF"/>
  </w:style>
  <w:style w:type="paragraph" w:styleId="Sansinterligne">
    <w:name w:val="No Spacing"/>
    <w:uiPriority w:val="1"/>
    <w:qFormat/>
    <w:rsid w:val="00FC693F"/>
    <w:pPr>
      <w:spacing w:after="0" w:line="240" w:lineRule="auto"/>
    </w:pPr>
  </w:style>
  <w:style w:type="character" w:customStyle="1" w:styleId="Titre1Car">
    <w:name w:val="Titre 1 Car"/>
    <w:basedOn w:val="Policepardfaut"/>
    <w:link w:val="Titre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Titre2Car">
    <w:name w:val="Titre 2 Car"/>
    <w:basedOn w:val="Policepardfaut"/>
    <w:link w:val="Titre2"/>
    <w:uiPriority w:val="9"/>
    <w:rsid w:val="00FC693F"/>
    <w:rPr>
      <w:rFonts w:asciiTheme="majorHAnsi" w:eastAsiaTheme="majorEastAsia" w:hAnsiTheme="majorHAnsi" w:cstheme="majorBidi"/>
      <w:b/>
      <w:bCs/>
      <w:color w:val="4F81BD" w:themeColor="accent1"/>
      <w:sz w:val="26"/>
      <w:szCs w:val="26"/>
    </w:rPr>
  </w:style>
  <w:style w:type="character" w:customStyle="1" w:styleId="Titre3Car">
    <w:name w:val="Titre 3 Car"/>
    <w:basedOn w:val="Policepardfaut"/>
    <w:link w:val="Titre3"/>
    <w:uiPriority w:val="9"/>
    <w:rsid w:val="00FC693F"/>
    <w:rPr>
      <w:rFonts w:asciiTheme="majorHAnsi" w:eastAsiaTheme="majorEastAsia" w:hAnsiTheme="majorHAnsi" w:cstheme="majorBidi"/>
      <w:b/>
      <w:bCs/>
      <w:color w:val="4F81BD" w:themeColor="accent1"/>
    </w:rPr>
  </w:style>
  <w:style w:type="paragraph" w:styleId="Titre">
    <w:name w:val="Title"/>
    <w:basedOn w:val="Normal"/>
    <w:next w:val="Normal"/>
    <w:link w:val="TitreCar"/>
    <w:uiPriority w:val="10"/>
    <w:qFormat/>
    <w:rsid w:val="00FC693F"/>
    <w:pPr>
      <w:keepNext/>
      <w:pBdr>
        <w:bottom w:val="single" w:sz="8" w:space="4" w:color="4F81BD" w:themeColor="accent1"/>
      </w:pBdr>
      <w:spacing w:line="240" w:lineRule="auto"/>
      <w:contextualSpacing/>
    </w:pPr>
    <w:rPr>
      <w:rFonts w:asciiTheme="majorHAnsi" w:eastAsiaTheme="majorEastAsia" w:hAnsiTheme="majorHAnsi" w:cstheme="majorBidi"/>
      <w:b/>
      <w:spacing w:val="5"/>
      <w:kern w:val="28"/>
      <w:sz w:val="52"/>
      <w:szCs w:val="52"/>
    </w:rPr>
  </w:style>
  <w:style w:type="character" w:customStyle="1" w:styleId="TitreCar">
    <w:name w:val="Titre Car"/>
    <w:basedOn w:val="Policepardfaut"/>
    <w:link w:val="Titr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ous-titre">
    <w:name w:val="Subtitle"/>
    <w:basedOn w:val="Normal"/>
    <w:next w:val="Normal"/>
    <w:link w:val="Sous-titreCar"/>
    <w:uiPriority w:val="11"/>
    <w:qFormat/>
    <w:rsid w:val="00FC693F"/>
    <w:pPr>
      <w:numPr>
        <w:ilvl w:val="1"/>
      </w:numPr>
    </w:pPr>
    <w:rPr>
      <w:rFonts w:asciiTheme="majorHAnsi" w:eastAsiaTheme="majorEastAsia" w:hAnsiTheme="majorHAnsi" w:cstheme="majorBidi"/>
      <w:i/>
      <w:iCs/>
      <w:color w:val="4F81BD" w:themeColor="accent1"/>
      <w:spacing w:val="15"/>
      <w:szCs w:val="24"/>
    </w:rPr>
  </w:style>
  <w:style w:type="character" w:customStyle="1" w:styleId="Sous-titreCar">
    <w:name w:val="Sous-titre Car"/>
    <w:basedOn w:val="Policepardfaut"/>
    <w:link w:val="Sous-titre"/>
    <w:uiPriority w:val="11"/>
    <w:rsid w:val="00FC693F"/>
    <w:rPr>
      <w:rFonts w:asciiTheme="majorHAnsi" w:eastAsiaTheme="majorEastAsia" w:hAnsiTheme="majorHAnsi" w:cstheme="majorBidi"/>
      <w:i/>
      <w:iCs/>
      <w:color w:val="4F81BD" w:themeColor="accent1"/>
      <w:spacing w:val="15"/>
      <w:sz w:val="24"/>
      <w:szCs w:val="24"/>
    </w:rPr>
  </w:style>
  <w:style w:type="paragraph" w:styleId="Paragraphedeliste">
    <w:name w:val="List Paragraph"/>
    <w:basedOn w:val="Normal"/>
    <w:uiPriority w:val="34"/>
    <w:qFormat/>
    <w:rsid w:val="00FC693F"/>
    <w:pPr>
      <w:ind w:left="720"/>
      <w:contextualSpacing/>
    </w:pPr>
  </w:style>
  <w:style w:type="paragraph" w:styleId="Corpsdetexte">
    <w:name w:val="Body Text"/>
    <w:basedOn w:val="Normal"/>
    <w:link w:val="CorpsdetexteCar"/>
    <w:uiPriority w:val="99"/>
    <w:unhideWhenUsed/>
    <w:rsid w:val="00AA1D8D"/>
    <w:pPr>
      <w:spacing w:after="120"/>
    </w:pPr>
  </w:style>
  <w:style w:type="character" w:customStyle="1" w:styleId="CorpsdetexteCar">
    <w:name w:val="Corps de texte Car"/>
    <w:basedOn w:val="Policepardfaut"/>
    <w:link w:val="Corpsdetexte"/>
    <w:uiPriority w:val="99"/>
    <w:rsid w:val="00AA1D8D"/>
  </w:style>
  <w:style w:type="paragraph" w:styleId="Corpsdetexte2">
    <w:name w:val="Body Text 2"/>
    <w:basedOn w:val="Normal"/>
    <w:link w:val="Corpsdetexte2Car"/>
    <w:uiPriority w:val="99"/>
    <w:unhideWhenUsed/>
    <w:rsid w:val="00AA1D8D"/>
    <w:pPr>
      <w:spacing w:after="120" w:line="480" w:lineRule="auto"/>
    </w:pPr>
  </w:style>
  <w:style w:type="character" w:customStyle="1" w:styleId="Corpsdetexte2Car">
    <w:name w:val="Corps de texte 2 Car"/>
    <w:basedOn w:val="Policepardfaut"/>
    <w:link w:val="Corpsdetexte2"/>
    <w:uiPriority w:val="99"/>
    <w:rsid w:val="00AA1D8D"/>
  </w:style>
  <w:style w:type="paragraph" w:styleId="Corpsdetexte3">
    <w:name w:val="Body Text 3"/>
    <w:basedOn w:val="Normal"/>
    <w:link w:val="Corpsdetexte3Car"/>
    <w:uiPriority w:val="99"/>
    <w:unhideWhenUsed/>
    <w:rsid w:val="00AA1D8D"/>
    <w:pPr>
      <w:spacing w:after="120"/>
    </w:pPr>
    <w:rPr>
      <w:sz w:val="16"/>
      <w:szCs w:val="16"/>
    </w:rPr>
  </w:style>
  <w:style w:type="character" w:customStyle="1" w:styleId="Corpsdetexte3Car">
    <w:name w:val="Corps de texte 3 Car"/>
    <w:basedOn w:val="Policepardfaut"/>
    <w:link w:val="Corpsdetexte3"/>
    <w:uiPriority w:val="99"/>
    <w:rsid w:val="00AA1D8D"/>
    <w:rPr>
      <w:sz w:val="16"/>
      <w:szCs w:val="16"/>
    </w:rPr>
  </w:style>
  <w:style w:type="paragraph" w:styleId="Liste">
    <w:name w:val="List"/>
    <w:basedOn w:val="Normal"/>
    <w:uiPriority w:val="99"/>
    <w:unhideWhenUsed/>
    <w:rsid w:val="00AA1D8D"/>
    <w:pPr>
      <w:ind w:left="360" w:hanging="360"/>
      <w:contextualSpacing/>
    </w:pPr>
  </w:style>
  <w:style w:type="paragraph" w:styleId="Liste2">
    <w:name w:val="List 2"/>
    <w:basedOn w:val="Normal"/>
    <w:uiPriority w:val="99"/>
    <w:unhideWhenUsed/>
    <w:rsid w:val="00326F90"/>
    <w:pPr>
      <w:ind w:left="720" w:hanging="360"/>
      <w:contextualSpacing/>
    </w:pPr>
  </w:style>
  <w:style w:type="paragraph" w:styleId="Liste3">
    <w:name w:val="List 3"/>
    <w:basedOn w:val="Normal"/>
    <w:uiPriority w:val="99"/>
    <w:unhideWhenUsed/>
    <w:rsid w:val="00326F90"/>
    <w:pPr>
      <w:ind w:left="1080" w:hanging="360"/>
      <w:contextualSpacing/>
    </w:pPr>
  </w:style>
  <w:style w:type="paragraph" w:styleId="Listepuces">
    <w:name w:val="List Bullet"/>
    <w:basedOn w:val="Normal"/>
    <w:uiPriority w:val="99"/>
    <w:unhideWhenUsed/>
    <w:rsid w:val="00326F90"/>
    <w:pPr>
      <w:numPr>
        <w:numId w:val="1"/>
      </w:numPr>
      <w:contextualSpacing/>
    </w:pPr>
  </w:style>
  <w:style w:type="paragraph" w:styleId="Listepuces2">
    <w:name w:val="List Bullet 2"/>
    <w:basedOn w:val="Normal"/>
    <w:uiPriority w:val="99"/>
    <w:unhideWhenUsed/>
    <w:rsid w:val="00326F90"/>
    <w:pPr>
      <w:numPr>
        <w:numId w:val="2"/>
      </w:numPr>
      <w:contextualSpacing/>
    </w:pPr>
  </w:style>
  <w:style w:type="paragraph" w:styleId="Listepuces3">
    <w:name w:val="List Bullet 3"/>
    <w:basedOn w:val="Normal"/>
    <w:uiPriority w:val="99"/>
    <w:unhideWhenUsed/>
    <w:rsid w:val="00326F90"/>
    <w:pPr>
      <w:numPr>
        <w:numId w:val="3"/>
      </w:numPr>
      <w:contextualSpacing/>
    </w:pPr>
  </w:style>
  <w:style w:type="paragraph" w:styleId="Listenumros">
    <w:name w:val="List Number"/>
    <w:basedOn w:val="Normal"/>
    <w:uiPriority w:val="99"/>
    <w:unhideWhenUsed/>
    <w:rsid w:val="00326F90"/>
    <w:pPr>
      <w:numPr>
        <w:numId w:val="5"/>
      </w:numPr>
      <w:contextualSpacing/>
    </w:pPr>
  </w:style>
  <w:style w:type="paragraph" w:styleId="Listenumros2">
    <w:name w:val="List Number 2"/>
    <w:basedOn w:val="Normal"/>
    <w:uiPriority w:val="99"/>
    <w:unhideWhenUsed/>
    <w:rsid w:val="0029639D"/>
    <w:pPr>
      <w:numPr>
        <w:numId w:val="6"/>
      </w:numPr>
      <w:contextualSpacing/>
    </w:pPr>
  </w:style>
  <w:style w:type="paragraph" w:styleId="Listenumros3">
    <w:name w:val="List Number 3"/>
    <w:basedOn w:val="Normal"/>
    <w:uiPriority w:val="99"/>
    <w:unhideWhenUsed/>
    <w:rsid w:val="0029639D"/>
    <w:pPr>
      <w:numPr>
        <w:numId w:val="7"/>
      </w:numPr>
      <w:contextualSpacing/>
    </w:pPr>
  </w:style>
  <w:style w:type="paragraph" w:styleId="Listecontinue">
    <w:name w:val="List Continue"/>
    <w:basedOn w:val="Normal"/>
    <w:uiPriority w:val="99"/>
    <w:unhideWhenUsed/>
    <w:rsid w:val="0029639D"/>
    <w:pPr>
      <w:spacing w:after="120"/>
      <w:ind w:left="360"/>
      <w:contextualSpacing/>
    </w:pPr>
  </w:style>
  <w:style w:type="paragraph" w:styleId="Listecontinue2">
    <w:name w:val="List Continue 2"/>
    <w:basedOn w:val="Normal"/>
    <w:uiPriority w:val="99"/>
    <w:unhideWhenUsed/>
    <w:rsid w:val="0029639D"/>
    <w:pPr>
      <w:spacing w:after="120"/>
      <w:ind w:left="720"/>
      <w:contextualSpacing/>
    </w:pPr>
  </w:style>
  <w:style w:type="paragraph" w:styleId="Listecontinue3">
    <w:name w:val="List Continue 3"/>
    <w:basedOn w:val="Normal"/>
    <w:uiPriority w:val="99"/>
    <w:unhideWhenUsed/>
    <w:rsid w:val="0029639D"/>
    <w:pPr>
      <w:spacing w:after="120"/>
      <w:ind w:left="1080"/>
      <w:contextualSpacing/>
    </w:pPr>
  </w:style>
  <w:style w:type="paragraph" w:styleId="Textedemacro">
    <w:name w:val="macro"/>
    <w:link w:val="TextedemacroC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xtedemacroCar">
    <w:name w:val="Texte de macro Car"/>
    <w:basedOn w:val="Policepardfaut"/>
    <w:link w:val="Textedemacro"/>
    <w:uiPriority w:val="99"/>
    <w:rsid w:val="0029639D"/>
    <w:rPr>
      <w:rFonts w:ascii="Courier" w:hAnsi="Courier"/>
      <w:sz w:val="20"/>
      <w:szCs w:val="20"/>
    </w:rPr>
  </w:style>
  <w:style w:type="paragraph" w:styleId="Citation">
    <w:name w:val="Quote"/>
    <w:basedOn w:val="Normal"/>
    <w:next w:val="Normal"/>
    <w:link w:val="CitationCar"/>
    <w:uiPriority w:val="29"/>
    <w:qFormat/>
    <w:rsid w:val="00FC693F"/>
    <w:rPr>
      <w:i/>
      <w:iCs/>
      <w:color w:val="000000" w:themeColor="text1"/>
    </w:rPr>
  </w:style>
  <w:style w:type="character" w:customStyle="1" w:styleId="CitationCar">
    <w:name w:val="Citation Car"/>
    <w:basedOn w:val="Policepardfaut"/>
    <w:link w:val="Citation"/>
    <w:uiPriority w:val="29"/>
    <w:rsid w:val="00FC693F"/>
    <w:rPr>
      <w:i/>
      <w:iCs/>
      <w:color w:val="000000" w:themeColor="text1"/>
    </w:rPr>
  </w:style>
  <w:style w:type="character" w:customStyle="1" w:styleId="Titre4Car">
    <w:name w:val="Titre 4 Car"/>
    <w:basedOn w:val="Policepardfaut"/>
    <w:link w:val="Titre4"/>
    <w:uiPriority w:val="9"/>
    <w:semiHidden/>
    <w:rsid w:val="00FC693F"/>
    <w:rPr>
      <w:rFonts w:asciiTheme="majorHAnsi" w:eastAsiaTheme="majorEastAsia" w:hAnsiTheme="majorHAnsi" w:cstheme="majorBidi"/>
      <w:b/>
      <w:bCs/>
      <w:i/>
      <w:iCs/>
      <w:color w:val="4F81BD" w:themeColor="accent1"/>
    </w:rPr>
  </w:style>
  <w:style w:type="character" w:customStyle="1" w:styleId="Titre5Car">
    <w:name w:val="Titre 5 Car"/>
    <w:basedOn w:val="Policepardfaut"/>
    <w:link w:val="Titre5"/>
    <w:uiPriority w:val="9"/>
    <w:semiHidden/>
    <w:rsid w:val="00FC693F"/>
    <w:rPr>
      <w:rFonts w:asciiTheme="majorHAnsi" w:eastAsiaTheme="majorEastAsia" w:hAnsiTheme="majorHAnsi" w:cstheme="majorBidi"/>
      <w:color w:val="243F60" w:themeColor="accent1" w:themeShade="7F"/>
    </w:rPr>
  </w:style>
  <w:style w:type="character" w:customStyle="1" w:styleId="Titre6Car">
    <w:name w:val="Titre 6 Car"/>
    <w:basedOn w:val="Policepardfaut"/>
    <w:link w:val="Titre6"/>
    <w:uiPriority w:val="9"/>
    <w:semiHidden/>
    <w:rsid w:val="00FC693F"/>
    <w:rPr>
      <w:rFonts w:asciiTheme="majorHAnsi" w:eastAsiaTheme="majorEastAsia" w:hAnsiTheme="majorHAnsi" w:cstheme="majorBidi"/>
      <w:i/>
      <w:iCs/>
      <w:color w:val="243F60" w:themeColor="accent1" w:themeShade="7F"/>
    </w:rPr>
  </w:style>
  <w:style w:type="character" w:customStyle="1" w:styleId="Titre7Car">
    <w:name w:val="Titre 7 Car"/>
    <w:basedOn w:val="Policepardfaut"/>
    <w:link w:val="Titre7"/>
    <w:uiPriority w:val="9"/>
    <w:semiHidden/>
    <w:rsid w:val="00FC693F"/>
    <w:rPr>
      <w:rFonts w:asciiTheme="majorHAnsi" w:eastAsiaTheme="majorEastAsia" w:hAnsiTheme="majorHAnsi" w:cstheme="majorBidi"/>
      <w:i/>
      <w:iCs/>
      <w:color w:val="404040" w:themeColor="text1" w:themeTint="BF"/>
    </w:rPr>
  </w:style>
  <w:style w:type="character" w:customStyle="1" w:styleId="Titre8Car">
    <w:name w:val="Titre 8 Car"/>
    <w:basedOn w:val="Policepardfaut"/>
    <w:link w:val="Titre8"/>
    <w:uiPriority w:val="9"/>
    <w:semiHidden/>
    <w:rsid w:val="00FC693F"/>
    <w:rPr>
      <w:rFonts w:asciiTheme="majorHAnsi" w:eastAsiaTheme="majorEastAsia" w:hAnsiTheme="majorHAnsi" w:cstheme="majorBidi"/>
      <w:color w:val="4F81BD" w:themeColor="accent1"/>
      <w:sz w:val="20"/>
      <w:szCs w:val="20"/>
    </w:rPr>
  </w:style>
  <w:style w:type="character" w:customStyle="1" w:styleId="Titre9Car">
    <w:name w:val="Titre 9 Car"/>
    <w:basedOn w:val="Policepardfaut"/>
    <w:link w:val="Titre9"/>
    <w:uiPriority w:val="9"/>
    <w:semiHidden/>
    <w:rsid w:val="00FC693F"/>
    <w:rPr>
      <w:rFonts w:asciiTheme="majorHAnsi" w:eastAsiaTheme="majorEastAsia" w:hAnsiTheme="majorHAnsi" w:cstheme="majorBidi"/>
      <w:i/>
      <w:iCs/>
      <w:color w:val="404040" w:themeColor="text1" w:themeTint="BF"/>
      <w:sz w:val="20"/>
      <w:szCs w:val="20"/>
    </w:rPr>
  </w:style>
  <w:style w:type="paragraph" w:styleId="Lgende">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lev">
    <w:name w:val="Strong"/>
    <w:basedOn w:val="Policepardfaut"/>
    <w:uiPriority w:val="22"/>
    <w:qFormat/>
    <w:rsid w:val="00FC693F"/>
    <w:rPr>
      <w:b/>
      <w:bCs/>
    </w:rPr>
  </w:style>
  <w:style w:type="character" w:styleId="Accentuation">
    <w:name w:val="Emphasis"/>
    <w:basedOn w:val="Policepardfaut"/>
    <w:uiPriority w:val="20"/>
    <w:qFormat/>
    <w:rsid w:val="00FC693F"/>
    <w:rPr>
      <w:i/>
      <w:iCs/>
    </w:rPr>
  </w:style>
  <w:style w:type="paragraph" w:styleId="Citationintense">
    <w:name w:val="Intense Quote"/>
    <w:basedOn w:val="Normal"/>
    <w:next w:val="Normal"/>
    <w:link w:val="CitationintenseC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itationintenseCar">
    <w:name w:val="Citation intense Car"/>
    <w:basedOn w:val="Policepardfaut"/>
    <w:link w:val="Citationintense"/>
    <w:uiPriority w:val="30"/>
    <w:rsid w:val="00FC693F"/>
    <w:rPr>
      <w:b/>
      <w:bCs/>
      <w:i/>
      <w:iCs/>
      <w:color w:val="4F81BD" w:themeColor="accent1"/>
    </w:rPr>
  </w:style>
  <w:style w:type="character" w:styleId="Accentuationlgre">
    <w:name w:val="Subtle Emphasis"/>
    <w:basedOn w:val="Policepardfaut"/>
    <w:uiPriority w:val="19"/>
    <w:qFormat/>
    <w:rsid w:val="00FC693F"/>
    <w:rPr>
      <w:i/>
      <w:iCs/>
      <w:color w:val="808080" w:themeColor="text1" w:themeTint="7F"/>
    </w:rPr>
  </w:style>
  <w:style w:type="character" w:styleId="Accentuationintense">
    <w:name w:val="Intense Emphasis"/>
    <w:basedOn w:val="Policepardfaut"/>
    <w:uiPriority w:val="21"/>
    <w:qFormat/>
    <w:rsid w:val="00FC693F"/>
    <w:rPr>
      <w:b/>
      <w:bCs/>
      <w:i/>
      <w:iCs/>
      <w:color w:val="4F81BD" w:themeColor="accent1"/>
    </w:rPr>
  </w:style>
  <w:style w:type="character" w:styleId="Rfrencelgre">
    <w:name w:val="Subtle Reference"/>
    <w:basedOn w:val="Policepardfaut"/>
    <w:uiPriority w:val="31"/>
    <w:qFormat/>
    <w:rsid w:val="00FC693F"/>
    <w:rPr>
      <w:smallCaps/>
      <w:color w:val="C0504D" w:themeColor="accent2"/>
      <w:u w:val="single"/>
    </w:rPr>
  </w:style>
  <w:style w:type="character" w:styleId="Rfrenceintense">
    <w:name w:val="Intense Reference"/>
    <w:basedOn w:val="Policepardfaut"/>
    <w:uiPriority w:val="32"/>
    <w:qFormat/>
    <w:rsid w:val="00FC693F"/>
    <w:rPr>
      <w:b/>
      <w:bCs/>
      <w:smallCaps/>
      <w:color w:val="C0504D" w:themeColor="accent2"/>
      <w:spacing w:val="5"/>
      <w:u w:val="single"/>
    </w:rPr>
  </w:style>
  <w:style w:type="character" w:styleId="Titredulivre">
    <w:name w:val="Book Title"/>
    <w:basedOn w:val="Policepardfaut"/>
    <w:uiPriority w:val="33"/>
    <w:qFormat/>
    <w:rsid w:val="00FC693F"/>
    <w:rPr>
      <w:b/>
      <w:bCs/>
      <w:smallCaps/>
      <w:spacing w:val="5"/>
    </w:rPr>
  </w:style>
  <w:style w:type="paragraph" w:styleId="En-ttedetabledesmatires">
    <w:name w:val="TOC Heading"/>
    <w:basedOn w:val="Titre1"/>
    <w:next w:val="Normal"/>
    <w:uiPriority w:val="39"/>
    <w:semiHidden/>
    <w:unhideWhenUsed/>
    <w:qFormat/>
    <w:rsid w:val="00FC693F"/>
    <w:pPr>
      <w:outlineLvl w:val="9"/>
    </w:pPr>
  </w:style>
  <w:style w:type="table" w:styleId="Grilledutableau">
    <w:name w:val="Table Grid"/>
    <w:basedOn w:val="Tableau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Ombrageclair">
    <w:name w:val="Light Shading"/>
    <w:basedOn w:val="Tableau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Trameclaire-Accent1">
    <w:name w:val="Light Shading Accent 1"/>
    <w:basedOn w:val="Tableau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Trameclaire-Accent2">
    <w:name w:val="Light Shading Accent 2"/>
    <w:basedOn w:val="Tableau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Trameclaire-Accent3">
    <w:name w:val="Light Shading Accent 3"/>
    <w:basedOn w:val="Tableau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Trameclaire-Accent4">
    <w:name w:val="Light Shading Accent 4"/>
    <w:basedOn w:val="Tableau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Trameclaire-Accent5">
    <w:name w:val="Light Shading Accent 5"/>
    <w:basedOn w:val="Tableau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Trameclaire-Accent6">
    <w:name w:val="Light Shading Accent 6"/>
    <w:basedOn w:val="Tableau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steclaire">
    <w:name w:val="Light List"/>
    <w:basedOn w:val="Tableau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eclaire-Accent1">
    <w:name w:val="Light List Accent 1"/>
    <w:basedOn w:val="Tableau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eclaire-Accent2">
    <w:name w:val="Light List Accent 2"/>
    <w:basedOn w:val="Tableau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steclaire-Accent3">
    <w:name w:val="Light List Accent 3"/>
    <w:basedOn w:val="Tableau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steclaire-Accent4">
    <w:name w:val="Light List Accent 4"/>
    <w:basedOn w:val="Tableau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steclaire-Accent5">
    <w:name w:val="Light List Accent 5"/>
    <w:basedOn w:val="Tableau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steclaire-Accent6">
    <w:name w:val="Light List Accent 6"/>
    <w:basedOn w:val="Tableau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Grilleclaire">
    <w:name w:val="Light Grid"/>
    <w:basedOn w:val="Tableau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Grilleclaire-Accent1">
    <w:name w:val="Light Grid Accent 1"/>
    <w:basedOn w:val="Tableau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Grilleclaire-Accent2">
    <w:name w:val="Light Grid Accent 2"/>
    <w:basedOn w:val="Tableau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Grilleclaire-Accent3">
    <w:name w:val="Light Grid Accent 3"/>
    <w:basedOn w:val="Tableau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Grilleclaire-Accent4">
    <w:name w:val="Light Grid Accent 4"/>
    <w:basedOn w:val="Tableau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Grilleclaire-Accent5">
    <w:name w:val="Light Grid Accent 5"/>
    <w:basedOn w:val="Tableau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Grilleclaire-Accent6">
    <w:name w:val="Light Grid Accent 6"/>
    <w:basedOn w:val="Tableau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Tramemoyenne1">
    <w:name w:val="Medium Shading 1"/>
    <w:basedOn w:val="Tableau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Tramemoyenne1-Accent1">
    <w:name w:val="Medium Shading 1 Accent 1"/>
    <w:basedOn w:val="Tableau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Tramemoyenne1-Accent2">
    <w:name w:val="Medium Shading 1 Accent 2"/>
    <w:basedOn w:val="Tableau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Tramemoyenne1-Accent3">
    <w:name w:val="Medium Shading 1 Accent 3"/>
    <w:basedOn w:val="Tableau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Tramemoyenne1-Accent4">
    <w:name w:val="Medium Shading 1 Accent 4"/>
    <w:basedOn w:val="Tableau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Tramemoyenne1-Accent5">
    <w:name w:val="Medium Shading 1 Accent 5"/>
    <w:basedOn w:val="Tableau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Tramemoyenne1-Accent6">
    <w:name w:val="Medium Shading 1 Accent 6"/>
    <w:basedOn w:val="Tableau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Tramemoyenne2">
    <w:name w:val="Medium Shading 2"/>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1">
    <w:name w:val="Medium Shading 2 Accent 1"/>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2">
    <w:name w:val="Medium Shading 2 Accent 2"/>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3">
    <w:name w:val="Medium Shading 2 Accent 3"/>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4">
    <w:name w:val="Medium Shading 2 Accent 4"/>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5">
    <w:name w:val="Medium Shading 2 Accent 5"/>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6">
    <w:name w:val="Medium Shading 2 Accent 6"/>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emoyenne1">
    <w:name w:val="Medium List 1"/>
    <w:basedOn w:val="Tableau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emoyenne1-Accent1">
    <w:name w:val="Medium List 1 Accent 1"/>
    <w:basedOn w:val="Tableau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Listemoyenne1-Accent2">
    <w:name w:val="Medium List 1 Accent 2"/>
    <w:basedOn w:val="Tableau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Listemoyenne1-Accent3">
    <w:name w:val="Medium List 1 Accent 3"/>
    <w:basedOn w:val="Tableau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stemoyenne1-Accent4">
    <w:name w:val="Medium List 1 Accent 4"/>
    <w:basedOn w:val="Tableau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Listemoyenne1-Accent5">
    <w:name w:val="Medium List 1 Accent 5"/>
    <w:basedOn w:val="Tableau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Listemoyenne1-Accent6">
    <w:name w:val="Medium List 1 Accent 6"/>
    <w:basedOn w:val="Tableau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Listemoyenne2">
    <w:name w:val="Medium List 2"/>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1">
    <w:name w:val="Medium List 2 Accent 1"/>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2">
    <w:name w:val="Medium List 2 Accent 2"/>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3">
    <w:name w:val="Medium List 2 Accent 3"/>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4">
    <w:name w:val="Medium List 2 Accent 4"/>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5">
    <w:name w:val="Medium List 2 Accent 5"/>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6">
    <w:name w:val="Medium List 2 Accent 6"/>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rillemoyenne1">
    <w:name w:val="Medium Grid 1"/>
    <w:basedOn w:val="Tableau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llemoyenne1-Accent1">
    <w:name w:val="Medium Grid 1 Accent 1"/>
    <w:basedOn w:val="Tableau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illemoyenne1-Accent2">
    <w:name w:val="Medium Grid 1 Accent 2"/>
    <w:basedOn w:val="Tableau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illemoyenne1-Accent3">
    <w:name w:val="Medium Grid 1 Accent 3"/>
    <w:basedOn w:val="Tableau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illemoyenne1-Accent4">
    <w:name w:val="Medium Grid 1 Accent 4"/>
    <w:basedOn w:val="Tableau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illemoyenne1-Accent5">
    <w:name w:val="Medium Grid 1 Accent 5"/>
    <w:basedOn w:val="Tableau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illemoyenne1-Accent6">
    <w:name w:val="Medium Grid 1 Accent 6"/>
    <w:basedOn w:val="Tableau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rillemoyenne2">
    <w:name w:val="Medium Grid 2"/>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rillemoyenne2-Accent1">
    <w:name w:val="Medium Grid 2 Accent 1"/>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rillemoyenne2-Accent2">
    <w:name w:val="Medium Grid 2 Accent 2"/>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rillemoyenne2-Accent3">
    <w:name w:val="Medium Grid 2 Accent 3"/>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rillemoyenne2-Accent4">
    <w:name w:val="Medium Grid 2 Accent 4"/>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rillemoyenne2-Accent5">
    <w:name w:val="Medium Grid 2 Accent 5"/>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rillemoyenne2-Accent6">
    <w:name w:val="Medium Grid 2 Accent 6"/>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rillemoyenne3">
    <w:name w:val="Medium Grid 3"/>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rillemoyenne3-Accent1">
    <w:name w:val="Medium Grid 3 Accent 1"/>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rillemoyenne3-Accent2">
    <w:name w:val="Medium Grid 3 Accent 2"/>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rillemoyenne3-Accent3">
    <w:name w:val="Medium Grid 3 Accent 3"/>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rillemoyenne3-Accent4">
    <w:name w:val="Medium Grid 3 Accent 4"/>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rillemoyenne3-Accent5">
    <w:name w:val="Medium Grid 3 Accent 5"/>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rillemoyenne3-Accent6">
    <w:name w:val="Medium Grid 3 Accent 6"/>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Listefonce">
    <w:name w:val="Dark List"/>
    <w:basedOn w:val="Tableau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Listefonce-Accent1">
    <w:name w:val="Dark List Accent 1"/>
    <w:basedOn w:val="Tableau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Listefonce-Accent2">
    <w:name w:val="Dark List Accent 2"/>
    <w:basedOn w:val="Tableau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Listefonce-Accent3">
    <w:name w:val="Dark List Accent 3"/>
    <w:basedOn w:val="Tableau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Listefonce-Accent4">
    <w:name w:val="Dark List Accent 4"/>
    <w:basedOn w:val="Tableau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Listefonce-Accent5">
    <w:name w:val="Dark List Accent 5"/>
    <w:basedOn w:val="Tableau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Listefonce-Accent6">
    <w:name w:val="Dark List Accent 6"/>
    <w:basedOn w:val="Tableau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Tramecouleur">
    <w:name w:val="Colorful Shading"/>
    <w:basedOn w:val="Tableau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Tramecouleur-Accent1">
    <w:name w:val="Colorful Shading Accent 1"/>
    <w:basedOn w:val="Tableau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Tramecouleur-Accent2">
    <w:name w:val="Colorful Shading Accent 2"/>
    <w:basedOn w:val="Tableau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Tramecouleur-Accent3">
    <w:name w:val="Colorful Shading Accent 3"/>
    <w:basedOn w:val="Tableau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Tramecouleur-Accent4">
    <w:name w:val="Colorful Shading Accent 4"/>
    <w:basedOn w:val="Tableau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Tramecouleur-Accent5">
    <w:name w:val="Colorful Shading Accent 5"/>
    <w:basedOn w:val="Tableau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Tramecouleur-Accent6">
    <w:name w:val="Colorful Shading Accent 6"/>
    <w:basedOn w:val="Tableau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Listecouleur">
    <w:name w:val="Colorful List"/>
    <w:basedOn w:val="Tableau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stecouleur-Accent1">
    <w:name w:val="Colorful List Accent 1"/>
    <w:basedOn w:val="Tableau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Listecouleur-Accent2">
    <w:name w:val="Colorful List Accent 2"/>
    <w:basedOn w:val="Tableau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Listecouleur-Accent3">
    <w:name w:val="Colorful List Accent 3"/>
    <w:basedOn w:val="Tableau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Listecouleur-Accent4">
    <w:name w:val="Colorful List Accent 4"/>
    <w:basedOn w:val="Tableau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Listecouleur-Accent5">
    <w:name w:val="Colorful List Accent 5"/>
    <w:basedOn w:val="Tableau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Listecouleur-Accent6">
    <w:name w:val="Colorful List Accent 6"/>
    <w:basedOn w:val="Tableau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Grillecouleur">
    <w:name w:val="Colorful Grid"/>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llecouleur-Accent1">
    <w:name w:val="Colorful Grid Accent 1"/>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illecouleur-Accent2">
    <w:name w:val="Colorful Grid Accent 2"/>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illecouleur-Accent3">
    <w:name w:val="Colorful Grid Accent 3"/>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illecouleur-Accent4">
    <w:name w:val="Colorful Grid Accent 4"/>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illecouleur-Accent5">
    <w:name w:val="Colorful Grid Accent 5"/>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illecouleur-Accent6">
    <w:name w:val="Colorful Grid Accent 6"/>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1492</Words>
  <Characters>8211</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9684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Néron : le coupable idéal ? — Guide enseignant — réponses</dc:title>
  <dc:subject>Latin seconde — refonte de la mécanique et réglure Seyès</dc:subject>
  <dc:creator>Ludi</dc:creator>
  <cp:keywords>latin; Néron; critique des sources</cp:keywords>
  <dc:description>generated by python-docx</dc:description>
  <cp:lastModifiedBy>Claire van Beek</cp:lastModifiedBy>
  <cp:revision>2</cp:revision>
  <dcterms:created xsi:type="dcterms:W3CDTF">2013-12-23T23:15:00Z</dcterms:created>
  <dcterms:modified xsi:type="dcterms:W3CDTF">2026-09-07T12:23:00Z</dcterms:modified>
  <cp:category/>
</cp:coreProperties>
</file>