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Modalisation et paroles rapportées en latin</w:t>
      </w:r>
    </w:p>
    <w:p>
      <w:pPr>
        <w:pStyle w:val="Subtitle"/>
      </w:pPr>
      <w:r>
        <w:t>Alexandre et Néron des récits antiques aux médias contemporains</w:t>
      </w:r>
    </w:p>
    <w:p>
      <w:r>
        <w:rPr>
          <w:b/>
        </w:rPr>
        <w:t>Livret élève</w:t>
      </w:r>
      <w:r>
        <w:t xml:space="preserve"> • Latin au lycée • Seconde et première avec approfondissements</w:t>
      </w:r>
    </w:p>
    <w:p>
      <w:r>
        <w:t>Nom et prénom : ______________________________________________</w:t>
      </w:r>
    </w:p>
    <w:p>
      <w:r>
        <w:t>Classe : ____________________    Date : _________________________</w:t>
      </w:r>
    </w:p>
    <w:p>
      <w:r>
        <w:t>La mort d’Alexandre et les flammes qui dévorent Rome ont longtemps nourri des récits dans lesquels l’inquiétude, l’admiration et le désir de trouver un coupable se mêlent. En revenant aux mots latins, nous prendrons le temps de comprendre ce que l’auteur affirme, ce qu’il attribue à d’autres voix et ce qu’il nous laisse encore hésiter à croire, afin que notre traduction garde les nuances qui nous ont touchés pendant la lecture.</w:t>
      </w:r>
    </w:p>
    <w:p>
      <w:r>
        <w:rPr>
          <w:b/>
        </w:rPr>
        <w:t>Problématique</w:t>
      </w:r>
      <w:r>
        <w:t xml:space="preserve"> — Comment traduire et transmettre un récit antique sans effacer ses sources, ses réserves ou les jugements de son auteur ?</w:t>
      </w:r>
    </w:p>
    <w:p>
      <w:pPr>
        <w:spacing w:before="400"/>
        <w:jc w:val="center"/>
      </w:pPr>
      <w:r>
        <w:drawing>
          <wp:inline xmlns:a="http://schemas.openxmlformats.org/drawingml/2006/main" xmlns:pic="http://schemas.openxmlformats.org/drawingml/2006/picture">
            <wp:extent cx="5616000" cy="1872000"/>
            <wp:docPr id="1" name="Picture 1" descr="Aquarelle de papyrus, encrier, colonne antique et journal"/>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616000" cy="1872000"/>
                    </a:xfrm>
                    <a:prstGeom prst="rect"/>
                  </pic:spPr>
                </pic:pic>
              </a:graphicData>
            </a:graphic>
          </wp:inline>
        </w:drawing>
      </w:r>
    </w:p>
    <w:p>
      <w:pPr>
        <w:pStyle w:val="Heading1"/>
        <w:pageBreakBefore/>
      </w:pPr>
      <w:r>
        <w:t>Entrer dans les textes latins</w:t>
      </w:r>
    </w:p>
    <w:p>
      <w:r>
        <w:t>Alexandre meurt à Babylone en 323 avant notre ère ; l’incendie de Rome se produit en 64 de notre ère, sous Néron. Les auteurs du dossier racontent ces événements après coup, si bien que leur présence dans une œuvre antique ne les transforme pas en témoignages directement enregistrés. Nous chercherons à entendre leurs voix, tout en gardant la distance nécessaire lorsque le récit nous entraîne vers une conclusion séduisante.</w:t>
      </w:r>
    </w:p>
    <w:p>
      <w:r>
        <w:t xml:space="preserve">Nous lirons </w:t>
      </w:r>
      <w:r>
        <w:rPr>
          <w:b/>
        </w:rPr>
        <w:t>Quinte-Curce et Justin</w:t>
      </w:r>
      <w:r>
        <w:t xml:space="preserve"> pour suivre les récits de la mort d’Alexandre, puis </w:t>
      </w:r>
      <w:r>
        <w:rPr>
          <w:b/>
        </w:rPr>
        <w:t>Tacite et Suétone</w:t>
      </w:r>
      <w:r>
        <w:t xml:space="preserve"> pour confronter les voix qui racontent l’incendie de Rome. Les quatre extraits sont donnés en latin, dans leur formulation originale. Les quelques exemples composés pour les exercices sont annoncés comme tels.</w:t>
      </w:r>
    </w:p>
    <w:p>
      <w:pPr>
        <w:pStyle w:val="Heading2"/>
        <w:pageBreakBefore w:val="0"/>
      </w:pPr>
      <w:r>
        <w:t>Ce que nous allons apprendre</w:t>
      </w:r>
    </w:p>
    <w:p>
      <w:r>
        <w:t>• Suivre les sources d’une information et mesurer la portée des mots qui expriment la réserve ou l’assurance.</w:t>
      </w:r>
    </w:p>
    <w:p>
      <w:r>
        <w:t>• Repérer le sujet à l’accusatif et le verbe à l’infinitif dans une proposition infinitive, puis les traduire en français.</w:t>
      </w:r>
    </w:p>
    <w:p>
      <w:r>
        <w:t>• Comprendre les rapports de temps de l’infinitif et reconnaître une interrogation indirecte.</w:t>
      </w:r>
    </w:p>
    <w:p>
      <w:r>
        <w:t>• Justifier une traduction à partir du latin et rédiger un compte rendu qui respecte les différences entre les auteurs.</w:t>
      </w:r>
    </w:p>
    <w:p>
      <w:pPr>
        <w:pStyle w:val="Heading2"/>
        <w:pageBreakBefore w:val="0"/>
      </w:pPr>
      <w:r>
        <w:t>Comment utiliser ce livret</w:t>
      </w:r>
    </w:p>
    <w:p>
      <w:r>
        <w:t xml:space="preserve">Les textes antiques sont placés dans des </w:t>
      </w:r>
      <w:r>
        <w:rPr>
          <w:b/>
        </w:rPr>
        <w:t>cadres</w:t>
      </w:r>
      <w:r>
        <w:t>, tandis que les consignes et leurs lignes Seyès restent à l’extérieur. Les numéros des cadres sont des repères de paragraphes ; les références précisent les sections de l’œuvre d’origine. Une coupure est signalée par […]. Chaque lecture comporte un passage à traduire : le lexique et les aides de construction vous permettront d’avancer, puis vous rédigerez votre version sur les lignes prévues. Lorsque deux formulations semblent possibles, notez ce qui vous fait hésiter ; cette hésitation peut devenir le point de départ d’une lecture plus précise.</w:t>
      </w:r>
    </w:p>
    <w:p>
      <w:pPr>
        <w:spacing w:after="100"/>
      </w:pPr>
      <w:r>
        <w:rPr>
          <w:sz w:val="21"/>
        </w:rPr>
        <w:t>Les trois leçons de langue, placées après les lectures, serviront de repères au fil du travail. Vous pourrez y revenir avec le professeur lorsque la construction d’une phrase le demande.</w:t>
      </w:r>
    </w:p>
    <w:p>
      <w:pPr>
        <w:spacing w:after="100"/>
      </w:pPr>
      <w:r>
        <w:rPr>
          <w:sz w:val="21"/>
        </w:rPr>
        <w:t>Les textes antiques sont dans le domaine public ; les éditions et transcriptions retenues sont précisées à la fin du livret. La ponctuation est celle des textes retenus ; les guillemets modernes ne constituent pas, à eux seuls, une preuve de l’authenticité des paroles rapportées.</w:t>
      </w:r>
    </w:p>
    <w:p>
      <w:pPr>
        <w:pStyle w:val="Heading1"/>
        <w:pageBreakBefore/>
      </w:pPr>
      <w:r>
        <w:t>L1 Quinte-Curce transmettre un récit, croire et affirmer</w:t>
      </w:r>
    </w:p>
    <w:p>
      <w:pPr>
        <w:spacing w:after="100"/>
      </w:pPr>
      <w:r>
        <w:rPr>
          <w:sz w:val="21"/>
        </w:rPr>
        <w:t>X, 10, 12–18, de Traditum magis quam creditum refero à potentia extinxit ; numérotation Vogel/LacusCurtius.</w:t>
      </w:r>
    </w:p>
    <w:p>
      <w:r>
        <w:t>Après la mort d’Alexandre, le narrateur rapporte la préparation du corps puis des accusations d’empoisonnement. Le passage renseigne sur les traditions et leur présentation ; il ne permet pas un diagnostic médical actuel.</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Traditum magis quam creditum refero: ut tandem curare corpus exanimum amicis vacavit, nulla tabe, ne minimo quidem livore corruptum videre, qui intraverant. Vigor quoque, qui constat ex spiritu, non destituerat vultum.</w:t>
            </w:r>
          </w:p>
          <w:p>
            <w:pPr>
              <w:spacing w:after="120" w:line="264" w:lineRule="auto"/>
            </w:pPr>
            <w:r>
              <w:rPr>
                <w:rFonts w:ascii="Arial" w:hAnsi="Arial"/>
                <w:sz w:val="24"/>
                <w:lang w:val="la-Latn"/>
              </w:rPr>
              <w:t>[2] Itaque Aegyptii Chaldaeique, iussi corpus suo more curare, primo non sunt ausi admovere velut spiranti manus. Deinde precati, ut ius fasque esset mortalibus attrectare deum, purgavere corpus: repletumque est odoribus aureum solium et capiti adiecta fortunae eius insignia.</w:t>
            </w:r>
          </w:p>
          <w:p>
            <w:pPr>
              <w:spacing w:after="120" w:line="264" w:lineRule="auto"/>
            </w:pPr>
            <w:r>
              <w:rPr>
                <w:rFonts w:ascii="Arial" w:hAnsi="Arial"/>
                <w:sz w:val="24"/>
                <w:lang w:val="la-Latn"/>
              </w:rPr>
              <w:t>[3] Veneno necatum esse credidere plerique: filium Antipatri inter ministros, Iollam nomine, patris iussu dedisse. Saepe certe audita erat vox Alexandri, Antipatrum regium adfectare fastigium maioremque esse praefecti opibus ac titulo Spartanae victoriae inflatum, omnia a se data adserentem sibi: credebant etiam Craterum cum veterum militum manu ad interficiendum eum missum.</w:t>
            </w:r>
          </w:p>
          <w:p>
            <w:pPr>
              <w:spacing w:after="120" w:line="264" w:lineRule="auto"/>
            </w:pPr>
            <w:r>
              <w:rPr>
                <w:rFonts w:ascii="Arial" w:hAnsi="Arial"/>
                <w:sz w:val="24"/>
                <w:lang w:val="la-Latn"/>
              </w:rPr>
              <w:t>[4] Vim autem veneni, quod in Macedonia gignitur, talem esse constat, ut ferrum quoque exurat: ungulam iumenti dumtaxat patientem esse constat suci. Stygem appellant fontem, ex quo pestiferum virus emanat. Hoc per Cassandrum adlatum traditumque fratri Iollae et ab eo supremae regis potioni inditum.</w:t>
            </w:r>
          </w:p>
          <w:p>
            <w:pPr>
              <w:spacing w:after="0" w:line="264" w:lineRule="auto"/>
            </w:pPr>
            <w:r>
              <w:rPr>
                <w:rFonts w:ascii="Arial" w:hAnsi="Arial"/>
                <w:sz w:val="24"/>
                <w:lang w:val="la-Latn"/>
              </w:rPr>
              <w:t>[5] Haec, utcumque sunt credita, eorum, quos rumor adsperserat, mox potentia extinxit.</w:t>
            </w:r>
          </w:p>
        </w:tc>
      </w:tr>
    </w:tbl>
    <w:p>
      <w:pPr>
        <w:spacing w:line="60" w:lineRule="exact" w:after="100"/>
      </w:pPr>
    </w:p>
    <w:p>
      <w:pPr>
        <w:spacing w:after="100"/>
      </w:pPr>
      <w:r>
        <w:rPr>
          <w:sz w:val="21"/>
        </w:rPr>
        <w:t>Extrait continu, sans coupure intérieure. Les limites du passage sont données dans la référence. Les numéros entre crochets sont des repères de lecture ajoutés.</w:t>
      </w:r>
    </w:p>
    <w:p>
      <w:pPr>
        <w:pStyle w:val="Heading3"/>
        <w:pageBreakBefore w:val="0"/>
      </w:pPr>
      <w:r>
        <w:t>Vocabulaire pour entrer dans le passage</w:t>
      </w:r>
    </w:p>
    <w:p>
      <w:pPr>
        <w:spacing w:after="100"/>
      </w:pPr>
      <w:r>
        <w:rPr>
          <w:i/>
          <w:sz w:val="21"/>
        </w:rPr>
        <w:t>refero, refers, referre, rettuli, relatum</w:t>
      </w:r>
      <w:r>
        <w:rPr>
          <w:sz w:val="21"/>
        </w:rPr>
        <w:t xml:space="preserve"> : rapporter, transmettre un récit ; </w:t>
      </w:r>
      <w:r>
        <w:rPr>
          <w:i/>
          <w:sz w:val="21"/>
        </w:rPr>
        <w:t>credo, -is, -ere, credidi, creditum</w:t>
      </w:r>
      <w:r>
        <w:rPr>
          <w:sz w:val="21"/>
        </w:rPr>
        <w:t xml:space="preserve"> : croire ; tenir pour vrai ; </w:t>
      </w:r>
      <w:r>
        <w:rPr>
          <w:i/>
          <w:sz w:val="21"/>
        </w:rPr>
        <w:t>tabes, -is, f.</w:t>
      </w:r>
      <w:r>
        <w:rPr>
          <w:sz w:val="21"/>
        </w:rPr>
        <w:t xml:space="preserve"> : décomposition, corruption ; </w:t>
      </w:r>
      <w:r>
        <w:rPr>
          <w:i/>
          <w:sz w:val="21"/>
        </w:rPr>
        <w:t>livor, -oris, m.</w:t>
      </w:r>
      <w:r>
        <w:rPr>
          <w:sz w:val="21"/>
        </w:rPr>
        <w:t xml:space="preserve"> : coloration livide ; </w:t>
      </w:r>
      <w:r>
        <w:rPr>
          <w:i/>
          <w:sz w:val="21"/>
        </w:rPr>
        <w:t>solium, -i, n.</w:t>
      </w:r>
      <w:r>
        <w:rPr>
          <w:sz w:val="21"/>
        </w:rPr>
        <w:t xml:space="preserve"> : siège ou cuve ; ici réceptacle funéraire, rendu par cercueil ; </w:t>
      </w:r>
      <w:r>
        <w:rPr>
          <w:i/>
          <w:sz w:val="21"/>
        </w:rPr>
        <w:t>adfecto, -as, -are, -avi, -atum</w:t>
      </w:r>
      <w:r>
        <w:rPr>
          <w:sz w:val="21"/>
        </w:rPr>
        <w:t xml:space="preserve"> : viser, chercher à obtenir.</w:t>
      </w:r>
    </w:p>
    <w:p>
      <w:pPr>
        <w:spacing w:after="100"/>
      </w:pPr>
      <w:r>
        <w:rPr>
          <w:i/>
          <w:sz w:val="21"/>
        </w:rPr>
        <w:t>fastigium, -i, n.</w:t>
      </w:r>
      <w:r>
        <w:rPr>
          <w:sz w:val="21"/>
        </w:rPr>
        <w:t xml:space="preserve"> : sommet ; ici rang suprême, pouvoir royal ; </w:t>
      </w:r>
      <w:r>
        <w:rPr>
          <w:i/>
          <w:sz w:val="21"/>
        </w:rPr>
        <w:t>consto, -as, -are, constiti</w:t>
      </w:r>
      <w:r>
        <w:rPr>
          <w:sz w:val="21"/>
        </w:rPr>
        <w:t xml:space="preserve"> : être constitué de ; impersonnel constat : il est établi ; </w:t>
      </w:r>
      <w:r>
        <w:rPr>
          <w:i/>
          <w:sz w:val="21"/>
        </w:rPr>
        <w:t>ungula, -ae, f.</w:t>
      </w:r>
      <w:r>
        <w:rPr>
          <w:sz w:val="21"/>
        </w:rPr>
        <w:t xml:space="preserve"> : sabot d’un animal ; </w:t>
      </w:r>
      <w:r>
        <w:rPr>
          <w:i/>
          <w:sz w:val="21"/>
        </w:rPr>
        <w:t>pestifer, -fera, -ferum</w:t>
      </w:r>
      <w:r>
        <w:rPr>
          <w:sz w:val="21"/>
        </w:rPr>
        <w:t xml:space="preserve"> : mortel, funeste ; </w:t>
      </w:r>
      <w:r>
        <w:rPr>
          <w:i/>
          <w:sz w:val="21"/>
        </w:rPr>
        <w:t>rumor, -oris, m.</w:t>
      </w:r>
      <w:r>
        <w:rPr>
          <w:sz w:val="21"/>
        </w:rPr>
        <w:t xml:space="preserve"> : rumeur, bruit qui circule ; </w:t>
      </w:r>
      <w:r>
        <w:rPr>
          <w:i/>
          <w:sz w:val="21"/>
        </w:rPr>
        <w:t>extinguo, -is, -ere, extinxi, extinctum</w:t>
      </w:r>
      <w:r>
        <w:rPr>
          <w:sz w:val="21"/>
        </w:rPr>
        <w:t xml:space="preserve"> : éteindre ; ici étouffer un récit.</w:t>
      </w:r>
    </w:p>
    <w:p>
      <w:pPr>
        <w:pStyle w:val="Heading1"/>
        <w:pageBreakBefore/>
      </w:pPr>
      <w:r>
        <w:t>L1 Construire et traduire le latin</w:t>
      </w:r>
    </w:p>
    <w:p>
      <w:pPr>
        <w:spacing w:after="100"/>
      </w:pPr>
      <w:r>
        <w:rPr>
          <w:sz w:val="21"/>
        </w:rPr>
        <w:t>Paragraphe [1] du cadre L1 : Quinte-Curce, X, 10, 12, sans coupure.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Traditum magis quam creditum refero: ut tandem curare corpus exanimum amicis vacavit, nulla tabe, ne minimo quidem livore corruptum videre, qui intraverant. Vigor quoque, qui constat ex spiritu, non destituerat vultum.</w:t>
            </w:r>
          </w:p>
        </w:tc>
      </w:tr>
    </w:tbl>
    <w:p>
      <w:pPr>
        <w:spacing w:line="60" w:lineRule="exact" w:after="100"/>
      </w:pPr>
    </w:p>
    <w:p>
      <w:pPr>
        <w:pStyle w:val="Heading3"/>
        <w:pageBreakBefore w:val="0"/>
      </w:pPr>
      <w:r>
        <w:t>Aides pour construire la phrase</w:t>
      </w:r>
    </w:p>
    <w:p>
      <w:pPr>
        <w:spacing w:after="100"/>
      </w:pPr>
      <w:r>
        <w:rPr>
          <w:sz w:val="21"/>
        </w:rPr>
        <w:t>1. Refero est au présent, à la 1re personne du singulier. Traditum et creditum sont des participes parfaits passifs employés comme noms à l’accusatif neutre singulier, compléments de refero ; magis… quam les compare.</w:t>
      </w:r>
    </w:p>
    <w:p>
      <w:pPr>
        <w:spacing w:after="100"/>
      </w:pPr>
      <w:r>
        <w:rPr>
          <w:sz w:val="21"/>
        </w:rPr>
        <w:t>2. Ut… vacavit est une subordonnée temporelle à l’indicatif. Vacavit est impersonnel ; amicis est au datif et curare, « soigner », complète ce verbe. Corpus exanimum est le complément de curare.</w:t>
      </w:r>
    </w:p>
    <w:p>
      <w:pPr>
        <w:spacing w:after="100"/>
      </w:pPr>
      <w:r>
        <w:rPr>
          <w:sz w:val="21"/>
        </w:rPr>
        <w:t>3. Corruptum s’accorde avec corpus. Nulla tabe et minimo… livore sont à l’ablatif ; ne… quidem encadre minimo et renforce la négation.</w:t>
      </w:r>
    </w:p>
    <w:p>
      <w:pPr>
        <w:spacing w:after="100"/>
      </w:pPr>
      <w:r>
        <w:rPr>
          <w:sz w:val="21"/>
        </w:rPr>
        <w:t>4. Videre équivaut ici à viderunt : c’est un parfait à la 3e personne du pluriel. Son sujet est le groupe qui intraverant ; intraverant est un plus-que-parfait d’intro, « entrer ».</w:t>
      </w:r>
    </w:p>
    <w:p>
      <w:pPr>
        <w:spacing w:after="100"/>
      </w:pPr>
      <w:r>
        <w:rPr>
          <w:sz w:val="21"/>
        </w:rPr>
        <w:t>5. Vigor est le sujet de non destituerat ; vultum en est le complément d’objet. Dans qui constat ex spiritu, qui reprend vigor : constat est personnel. Destituerat est au plus-que-parfait.</w:t>
      </w:r>
    </w:p>
    <w:p>
      <w:pPr>
        <w:pStyle w:val="Heading3"/>
        <w:pageBreakBefore w:val="0"/>
      </w:pPr>
      <w:r>
        <w:t>Mots utiles pour cette traduction</w:t>
      </w:r>
    </w:p>
    <w:p>
      <w:pPr>
        <w:spacing w:after="100"/>
      </w:pPr>
      <w:r>
        <w:rPr>
          <w:i/>
          <w:sz w:val="21"/>
        </w:rPr>
        <w:t>trado, -is, -ere, tradidi, traditum</w:t>
      </w:r>
      <w:r>
        <w:rPr>
          <w:sz w:val="21"/>
        </w:rPr>
        <w:t xml:space="preserve"> : transmettre ; </w:t>
      </w:r>
      <w:r>
        <w:rPr>
          <w:i/>
          <w:sz w:val="21"/>
        </w:rPr>
        <w:t>vaco, -as, -are, -avi</w:t>
      </w:r>
      <w:r>
        <w:rPr>
          <w:sz w:val="21"/>
        </w:rPr>
        <w:t xml:space="preserve"> : être disponible ; dans l’emploi impersonnel avec datif : avoir du temps pour ; </w:t>
      </w:r>
      <w:r>
        <w:rPr>
          <w:i/>
          <w:sz w:val="21"/>
        </w:rPr>
        <w:t>exanimus, -a, -um</w:t>
      </w:r>
      <w:r>
        <w:rPr>
          <w:sz w:val="21"/>
        </w:rPr>
        <w:t xml:space="preserve"> : sans vie, inanimé ; </w:t>
      </w:r>
      <w:r>
        <w:rPr>
          <w:i/>
          <w:sz w:val="21"/>
        </w:rPr>
        <w:t>corrumpo, -is, -ere, corrupi, corruptum</w:t>
      </w:r>
      <w:r>
        <w:rPr>
          <w:sz w:val="21"/>
        </w:rPr>
        <w:t xml:space="preserve"> : altérer, corrompre ; </w:t>
      </w:r>
      <w:r>
        <w:rPr>
          <w:i/>
          <w:sz w:val="21"/>
        </w:rPr>
        <w:t>vigor, -oris, m.</w:t>
      </w:r>
      <w:r>
        <w:rPr>
          <w:sz w:val="21"/>
        </w:rPr>
        <w:t xml:space="preserve"> : vigueur, vitalité ; </w:t>
      </w:r>
      <w:r>
        <w:rPr>
          <w:i/>
          <w:sz w:val="21"/>
        </w:rPr>
        <w:t>spiritus, -us, m.</w:t>
      </w:r>
      <w:r>
        <w:rPr>
          <w:sz w:val="21"/>
        </w:rPr>
        <w:t xml:space="preserve"> : souffle ; ici souffle vital.</w:t>
      </w:r>
    </w:p>
    <w:p>
      <w:pPr>
        <w:spacing w:after="100"/>
      </w:pPr>
      <w:r>
        <w:rPr>
          <w:i/>
          <w:sz w:val="21"/>
        </w:rPr>
        <w:t>destituo, -is, -ere, destitui, destitutum</w:t>
      </w:r>
      <w:r>
        <w:rPr>
          <w:sz w:val="21"/>
        </w:rPr>
        <w:t xml:space="preserve"> : abandonner, faire défaut à ; </w:t>
      </w:r>
      <w:r>
        <w:rPr>
          <w:i/>
          <w:sz w:val="21"/>
        </w:rPr>
        <w:t>vultus, -us, m.</w:t>
      </w:r>
      <w:r>
        <w:rPr>
          <w:sz w:val="21"/>
        </w:rPr>
        <w:t xml:space="preserve"> : visage.</w:t>
      </w:r>
    </w:p>
    <w:p>
      <w:pPr>
        <w:keepNext/>
        <w:spacing w:after="80"/>
      </w:pPr>
      <w:r>
        <w:t>Traduisez ce paragraphe en conservant la réserve du narrateur, puis les observations qu’il rapporte sur le corps d’Alexandre. Retrouvez d’abord les verbes conjugués et leurs sujets ; les aides vous permettront ensuite de construire un français clair, sans perdre les nuances du passage.</w:t>
      </w:r>
    </w:p>
    <w:p>
      <w:pPr>
        <w:spacing w:after="180" w:line="240" w:lineRule="auto"/>
        <w:ind w:left="0" w:right="0" w:firstLine="0"/>
        <w:jc w:val="left"/>
      </w:pPr>
      <w:r>
        <w:drawing>
          <wp:inline xmlns:a="http://schemas.openxmlformats.org/drawingml/2006/main" xmlns:pic="http://schemas.openxmlformats.org/drawingml/2006/picture">
            <wp:extent cx="6263999" cy="2304000"/>
            <wp:docPr id="2" name="Picture 2" descr="8 lignes Seyès pour L1_traduction_guidee avec pas principal de 8 mm et interlignes de 2 mm"/>
            <wp:cNvGraphicFramePr>
              <a:graphicFrameLocks noChangeAspect="1"/>
            </wp:cNvGraphicFramePr>
            <a:graphic>
              <a:graphicData uri="http://schemas.openxmlformats.org/drawingml/2006/picture">
                <pic:pic>
                  <pic:nvPicPr>
                    <pic:cNvPr id="0" name="seyes_8_lignes.png"/>
                    <pic:cNvPicPr/>
                  </pic:nvPicPr>
                  <pic:blipFill>
                    <a:blip r:embed="rId34"/>
                    <a:stretch>
                      <a:fillRect/>
                    </a:stretch>
                  </pic:blipFill>
                  <pic:spPr>
                    <a:xfrm>
                      <a:off x="0" y="0"/>
                      <a:ext cx="6263999" cy="2304000"/>
                    </a:xfrm>
                    <a:prstGeom prst="rect"/>
                  </pic:spPr>
                </pic:pic>
              </a:graphicData>
            </a:graphic>
          </wp:inline>
        </w:drawing>
      </w:r>
    </w:p>
    <w:p>
      <w:pPr>
        <w:pStyle w:val="Heading1"/>
        <w:pageBreakBefore/>
      </w:pPr>
      <w:r>
        <w:t>L1 Lire et traduire les voix du récit</w:t>
      </w:r>
    </w:p>
    <w:p>
      <w:r>
        <w:t>Gardez la page du texte près de vous. Avant de fixer une traduction, retrouvez la voix qui parle et les mots dont elle fait dépendre l’information ; vous pourrez ensuite expliquer votre lecture sans effacer les hésitations ni les affirmations de l’auteur.</w:t>
      </w:r>
    </w:p>
    <w:p>
      <w:pPr>
        <w:keepNext/>
        <w:spacing w:after="80"/>
      </w:pPr>
      <w:r>
        <w:t>1. Commencez par la voix du narrateur : traduisez Traditum magis quam creditum refero. Quel récit suit immédiatement cette formule ? Expliquez pourquoi sa réserve ne peut pas être appliquée automatiquement à toutes les affirmations sur le poison.</w:t>
      </w:r>
    </w:p>
    <w:p>
      <w:pPr>
        <w:spacing w:after="180" w:line="240" w:lineRule="auto"/>
        <w:ind w:left="0" w:right="0" w:firstLine="0"/>
        <w:jc w:val="left"/>
      </w:pPr>
      <w:r>
        <w:drawing>
          <wp:inline xmlns:a="http://schemas.openxmlformats.org/drawingml/2006/main" xmlns:pic="http://schemas.openxmlformats.org/drawingml/2006/picture">
            <wp:extent cx="6263999" cy="1728000"/>
            <wp:docPr id="3" name="Picture 3" descr="6 lignes Seyès pour L1_lecture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keepNext/>
        <w:spacing w:after="80"/>
      </w:pPr>
      <w:r>
        <w:t>2. Dans Veneno necatum esse credidere plerique, identifiez le verbe introducteur, l’infinitif et le sujet sous-entendu de l’infinitive. Précisez le rapport de temps et proposez une traduction. Vous pouvez ensuite retrouver qui est le sujet de dedisse.</w:t>
      </w:r>
    </w:p>
    <w:p>
      <w:pPr>
        <w:spacing w:after="180" w:line="240" w:lineRule="auto"/>
        <w:ind w:left="0" w:right="0" w:firstLine="0"/>
        <w:jc w:val="left"/>
      </w:pPr>
      <w:r>
        <w:drawing>
          <wp:inline xmlns:a="http://schemas.openxmlformats.org/drawingml/2006/main" xmlns:pic="http://schemas.openxmlformats.org/drawingml/2006/picture">
            <wp:extent cx="6263999" cy="2304000"/>
            <wp:docPr id="4" name="Picture 4" descr="8 lignes Seyès pour L1_lecture_2 avec pas principal de 8 mm et interlignes de 2 mm"/>
            <wp:cNvGraphicFramePr>
              <a:graphicFrameLocks noChangeAspect="1"/>
            </wp:cNvGraphicFramePr>
            <a:graphic>
              <a:graphicData uri="http://schemas.openxmlformats.org/drawingml/2006/picture">
                <pic:pic>
                  <pic:nvPicPr>
                    <pic:cNvPr id="0" name="seyes_8_lignes.png"/>
                    <pic:cNvPicPr/>
                  </pic:nvPicPr>
                  <pic:blipFill>
                    <a:blip r:embed="rId34"/>
                    <a:stretch>
                      <a:fillRect/>
                    </a:stretch>
                  </pic:blipFill>
                  <pic:spPr>
                    <a:xfrm>
                      <a:off x="0" y="0"/>
                      <a:ext cx="6263999" cy="2304000"/>
                    </a:xfrm>
                    <a:prstGeom prst="rect"/>
                  </pic:spPr>
                </pic:pic>
              </a:graphicData>
            </a:graphic>
          </wp:inline>
        </w:drawing>
      </w:r>
    </w:p>
    <w:p>
      <w:pPr>
        <w:pStyle w:val="Heading1"/>
        <w:pageBreakBefore/>
      </w:pPr>
      <w:r>
        <w:t>L1 Interpréter les paroles et les réserves</w:t>
      </w:r>
    </w:p>
    <w:p>
      <w:pPr>
        <w:keepNext/>
        <w:spacing w:after="80"/>
      </w:pPr>
      <w:r>
        <w:t>3. Étudiez audita erat vox Alexandri : identifiez le temps, la voix et le nom avec lequel audita s’accorde. À qui sont attribuées les paroles qui suivent ? En quoi cette attribution diffère-t-elle de la désignation d’un témoin direct de l’empoisonnement ?</w:t>
      </w:r>
    </w:p>
    <w:p>
      <w:pPr>
        <w:spacing w:after="180" w:line="240" w:lineRule="auto"/>
        <w:ind w:left="0" w:right="0" w:firstLine="0"/>
        <w:jc w:val="left"/>
      </w:pPr>
      <w:r>
        <w:drawing>
          <wp:inline xmlns:a="http://schemas.openxmlformats.org/drawingml/2006/main" xmlns:pic="http://schemas.openxmlformats.org/drawingml/2006/picture">
            <wp:extent cx="6263999" cy="2016000"/>
            <wp:docPr id="5" name="Picture 5" descr="7 lignes Seyès pour L1_lecture_3 avec pas principal de 8 mm et interlignes de 2 mm"/>
            <wp:cNvGraphicFramePr>
              <a:graphicFrameLocks noChangeAspect="1"/>
            </wp:cNvGraphicFramePr>
            <a:graphic>
              <a:graphicData uri="http://schemas.openxmlformats.org/drawingml/2006/picture">
                <pic:pic>
                  <pic:nvPicPr>
                    <pic:cNvPr id="0" name="seyes_7_lignes.png"/>
                    <pic:cNvPicPr/>
                  </pic:nvPicPr>
                  <pic:blipFill>
                    <a:blip r:embed="rId35"/>
                    <a:stretch>
                      <a:fillRect/>
                    </a:stretch>
                  </pic:blipFill>
                  <pic:spPr>
                    <a:xfrm>
                      <a:off x="0" y="0"/>
                      <a:ext cx="6263999" cy="2016000"/>
                    </a:xfrm>
                    <a:prstGeom prst="rect"/>
                  </pic:spPr>
                </pic:pic>
              </a:graphicData>
            </a:graphic>
          </wp:inline>
        </w:drawing>
      </w:r>
    </w:p>
    <w:p>
      <w:pPr>
        <w:keepNext/>
        <w:spacing w:after="80"/>
      </w:pPr>
      <w:r>
        <w:t>4. Comparez les deux emplois impersonnels de constat avec credidere et le mot rumor dans la dernière phrase. Quelle assurance ou quelle distance exprime chacun ? Analysez aussi ut… exurat : pourquoi le subjonctif ne suffit-il pas à conclure que cette affirmation est incertaine ?</w:t>
      </w:r>
    </w:p>
    <w:p>
      <w:pPr>
        <w:spacing w:after="180" w:line="240" w:lineRule="auto"/>
        <w:ind w:left="0" w:right="0" w:firstLine="0"/>
        <w:jc w:val="left"/>
      </w:pPr>
      <w:r>
        <w:drawing>
          <wp:inline xmlns:a="http://schemas.openxmlformats.org/drawingml/2006/main" xmlns:pic="http://schemas.openxmlformats.org/drawingml/2006/picture">
            <wp:extent cx="6263999" cy="2304000"/>
            <wp:docPr id="6" name="Picture 6" descr="8 lignes Seyès pour L1_lecture_4 avec pas principal de 8 mm et interlignes de 2 mm"/>
            <wp:cNvGraphicFramePr>
              <a:graphicFrameLocks noChangeAspect="1"/>
            </wp:cNvGraphicFramePr>
            <a:graphic>
              <a:graphicData uri="http://schemas.openxmlformats.org/drawingml/2006/picture">
                <pic:pic>
                  <pic:nvPicPr>
                    <pic:cNvPr id="0" name="seyes_8_lignes.png"/>
                    <pic:cNvPicPr/>
                  </pic:nvPicPr>
                  <pic:blipFill>
                    <a:blip r:embed="rId34"/>
                    <a:stretch>
                      <a:fillRect/>
                    </a:stretch>
                  </pic:blipFill>
                  <pic:spPr>
                    <a:xfrm>
                      <a:off x="0" y="0"/>
                      <a:ext cx="6263999" cy="2304000"/>
                    </a:xfrm>
                    <a:prstGeom prst="rect"/>
                  </pic:spPr>
                </pic:pic>
              </a:graphicData>
            </a:graphic>
          </wp:inline>
        </w:drawing>
      </w:r>
    </w:p>
    <w:p>
      <w:pPr>
        <w:pStyle w:val="Heading1"/>
        <w:pageBreakBefore/>
      </w:pPr>
      <w:r>
        <w:t>L2 Justin une explication rapportée et une accusation affirmée</w:t>
      </w:r>
    </w:p>
    <w:p>
      <w:pPr>
        <w:spacing w:after="100"/>
      </w:pPr>
      <w:r>
        <w:rPr>
          <w:sz w:val="21"/>
        </w:rPr>
        <w:t>XII, 13, 10 à XII, 14, 9 ; de Amici causas morbi à potioni supermiserunt.</w:t>
      </w:r>
    </w:p>
    <w:p>
      <w:r>
        <w:t>Justin juxtapose une explication diffusée par les amis d’Alexandre et le complot qu’il présente lui-même comme réel. Le « Thessalien » est Médius, nommé avant l’extrait en XII, 13, 7. Les noms et rôles sont ceux de cette version antique et ne sont pas harmonisés avec d’autres historiens.</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Amici causas morbi intemperiem ebrietatis disseminaverunt, re autem vera insidiae fuerunt, quarum infamiam successorum potentia oppressit.</w:t>
            </w:r>
          </w:p>
          <w:p>
            <w:pPr>
              <w:spacing w:after="120" w:line="264" w:lineRule="auto"/>
            </w:pPr>
            <w:r>
              <w:rPr>
                <w:rFonts w:ascii="Arial" w:hAnsi="Arial"/>
                <w:sz w:val="24"/>
                <w:lang w:val="la-Latn"/>
              </w:rPr>
              <w:t>[2] Auctor insidiarum Antipater fuit, qui cum carissimos amicos eius interfectos videret, Alexandrum Lyncestam, generum suum, occisum, se magnis rebus in Graecia gestis non tam gratum apud regem quam invidiosum esse, a matre quoque eius Olympiade variis se criminationibus vexatum. Huc accedebant ante paucos dies supplicia in praefectos devictarum nationum crudeliter habita. Ex quibus rebus se quoque a Macedonia non ad societatem militiae, sed ad poenam vocatum arbitrabatur.</w:t>
            </w:r>
          </w:p>
          <w:p>
            <w:pPr>
              <w:spacing w:after="120" w:line="264" w:lineRule="auto"/>
            </w:pPr>
            <w:r>
              <w:rPr>
                <w:rFonts w:ascii="Arial" w:hAnsi="Arial"/>
                <w:sz w:val="24"/>
                <w:lang w:val="la-Latn"/>
              </w:rPr>
              <w:t>[3] Igitur ad occupandum regem Cassandrum filium dato veneno subornat, qui cum fratribus Philippo et Iolla ministrare regi solebat, cuius veneni tanta vis fuit, ut non aere, non ferro, non testa contineretur, nec aliter ferri nisi in ungula equi potuerit; praemonito filio, ne alii quam Thessalo et fratribus crederet. Hac igitur causa apud Thessalum paratum repetitumque convivium est.</w:t>
            </w:r>
          </w:p>
          <w:p>
            <w:pPr>
              <w:spacing w:after="0" w:line="264" w:lineRule="auto"/>
            </w:pPr>
            <w:r>
              <w:rPr>
                <w:rFonts w:ascii="Arial" w:hAnsi="Arial"/>
                <w:sz w:val="24"/>
                <w:lang w:val="la-Latn"/>
              </w:rPr>
              <w:t>[4] Philippus et Iollas praegustare ac temperare potum regis soliti in aqua frigida venenum habuerunt, quam praegustatae iam potioni supermiserunt.</w:t>
            </w:r>
          </w:p>
        </w:tc>
      </w:tr>
    </w:tbl>
    <w:p>
      <w:pPr>
        <w:spacing w:line="60" w:lineRule="exact" w:after="100"/>
      </w:pPr>
    </w:p>
    <w:p>
      <w:pPr>
        <w:spacing w:after="100"/>
      </w:pPr>
      <w:r>
        <w:rPr>
          <w:sz w:val="21"/>
        </w:rPr>
        <w:t>Extrait continu, sans coupure intérieure. Les limites du passage sont données dans la référence. Les numéros entre crochets sont des repères de lecture ajoutés.</w:t>
      </w:r>
    </w:p>
    <w:p>
      <w:pPr>
        <w:pStyle w:val="Heading3"/>
        <w:pageBreakBefore w:val="0"/>
      </w:pPr>
      <w:r>
        <w:t>Vocabulaire pour entrer dans le passage</w:t>
      </w:r>
    </w:p>
    <w:p>
      <w:pPr>
        <w:spacing w:after="100"/>
      </w:pPr>
      <w:r>
        <w:rPr>
          <w:i/>
          <w:sz w:val="21"/>
        </w:rPr>
        <w:t>dissemino, -as, -are, -avi, -atum</w:t>
      </w:r>
      <w:r>
        <w:rPr>
          <w:sz w:val="21"/>
        </w:rPr>
        <w:t xml:space="preserve"> : répandre, diffuser ; </w:t>
      </w:r>
      <w:r>
        <w:rPr>
          <w:i/>
          <w:sz w:val="21"/>
        </w:rPr>
        <w:t>insidiae, -arum, f. pluriel</w:t>
      </w:r>
      <w:r>
        <w:rPr>
          <w:sz w:val="21"/>
        </w:rPr>
        <w:t xml:space="preserve"> : embûches ; ici complot ; </w:t>
      </w:r>
      <w:r>
        <w:rPr>
          <w:i/>
          <w:sz w:val="21"/>
        </w:rPr>
        <w:t>arbitror, -aris, -ari, arbitratus sum</w:t>
      </w:r>
      <w:r>
        <w:rPr>
          <w:sz w:val="21"/>
        </w:rPr>
        <w:t xml:space="preserve"> : penser, estimer ; verbe déponent ; </w:t>
      </w:r>
      <w:r>
        <w:rPr>
          <w:i/>
          <w:sz w:val="21"/>
        </w:rPr>
        <w:t>suborno, -as, -are, -avi, -atum</w:t>
      </w:r>
      <w:r>
        <w:rPr>
          <w:sz w:val="21"/>
        </w:rPr>
        <w:t xml:space="preserve"> : préparer secrètement ; charger d’une mission secrète ; </w:t>
      </w:r>
      <w:r>
        <w:rPr>
          <w:i/>
          <w:sz w:val="21"/>
        </w:rPr>
        <w:t>venenum, -i, n.</w:t>
      </w:r>
      <w:r>
        <w:rPr>
          <w:sz w:val="21"/>
        </w:rPr>
        <w:t xml:space="preserve"> : poison ; </w:t>
      </w:r>
      <w:r>
        <w:rPr>
          <w:i/>
          <w:sz w:val="21"/>
        </w:rPr>
        <w:t>ministro, -as, -are, -avi, -atum</w:t>
      </w:r>
      <w:r>
        <w:rPr>
          <w:sz w:val="21"/>
        </w:rPr>
        <w:t xml:space="preserve"> : servir.</w:t>
      </w:r>
    </w:p>
    <w:p>
      <w:pPr>
        <w:spacing w:after="100"/>
      </w:pPr>
      <w:r>
        <w:rPr>
          <w:i/>
          <w:sz w:val="21"/>
        </w:rPr>
        <w:t>vis, vis, f.</w:t>
      </w:r>
      <w:r>
        <w:rPr>
          <w:sz w:val="21"/>
        </w:rPr>
        <w:t xml:space="preserve"> : force, puissance ; </w:t>
      </w:r>
      <w:r>
        <w:rPr>
          <w:i/>
          <w:sz w:val="21"/>
        </w:rPr>
        <w:t>contineo, -es, -ere, continui, contentum</w:t>
      </w:r>
      <w:r>
        <w:rPr>
          <w:sz w:val="21"/>
        </w:rPr>
        <w:t xml:space="preserve"> : contenir ; </w:t>
      </w:r>
      <w:r>
        <w:rPr>
          <w:i/>
          <w:sz w:val="21"/>
        </w:rPr>
        <w:t>aes, aeris, n.</w:t>
      </w:r>
      <w:r>
        <w:rPr>
          <w:sz w:val="21"/>
        </w:rPr>
        <w:t xml:space="preserve"> : bronze ; </w:t>
      </w:r>
      <w:r>
        <w:rPr>
          <w:i/>
          <w:sz w:val="21"/>
        </w:rPr>
        <w:t>testa, -ae, f.</w:t>
      </w:r>
      <w:r>
        <w:rPr>
          <w:sz w:val="21"/>
        </w:rPr>
        <w:t xml:space="preserve"> : terre cuite ; récipient en terre cuite ; </w:t>
      </w:r>
      <w:r>
        <w:rPr>
          <w:i/>
          <w:sz w:val="21"/>
        </w:rPr>
        <w:t>ungula, -ae, f.</w:t>
      </w:r>
      <w:r>
        <w:rPr>
          <w:sz w:val="21"/>
        </w:rPr>
        <w:t xml:space="preserve"> : sabot ; </w:t>
      </w:r>
      <w:r>
        <w:rPr>
          <w:i/>
          <w:sz w:val="21"/>
        </w:rPr>
        <w:t>credo, -is, -ere, credidi, creditum</w:t>
      </w:r>
      <w:r>
        <w:rPr>
          <w:sz w:val="21"/>
        </w:rPr>
        <w:t xml:space="preserve"> : croire ; avec le datif, faire confiance à.</w:t>
      </w:r>
    </w:p>
    <w:p>
      <w:pPr>
        <w:keepNext/>
        <w:spacing w:after="80"/>
      </w:pPr>
      <w:r>
        <w:t>1. Qui transmet l’explication par les excès de boisson ? Relevez ensuite l’expression qui marque la position du narrateur. Expliquez la différence entre ces deux façons de présenter une information.</w:t>
      </w:r>
    </w:p>
    <w:p>
      <w:pPr>
        <w:spacing w:after="180" w:line="240" w:lineRule="auto"/>
        <w:ind w:left="0" w:right="0" w:firstLine="0"/>
        <w:jc w:val="left"/>
      </w:pPr>
      <w:r>
        <w:drawing>
          <wp:inline xmlns:a="http://schemas.openxmlformats.org/drawingml/2006/main" xmlns:pic="http://schemas.openxmlformats.org/drawingml/2006/picture">
            <wp:extent cx="6263999" cy="1440000"/>
            <wp:docPr id="7" name="Picture 7" descr="5 lignes Seyès pour L2_lecture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pStyle w:val="Heading1"/>
        <w:pageBreakBefore/>
      </w:pPr>
      <w:r>
        <w:t>L2 Construire et traduire le latin</w:t>
      </w:r>
    </w:p>
    <w:p>
      <w:pPr>
        <w:spacing w:after="100"/>
      </w:pPr>
      <w:r>
        <w:rPr>
          <w:sz w:val="21"/>
        </w:rPr>
        <w:t>Fin du paragraphe [2] et début du paragraphe [3] du cadre L2 : Justin, XII, 14, 5 et début de 6. La traduction s’arrête à solebat ; la fin de la phrase est signalée par […].</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Ex quibus rebus se quoque a Macedonia non ad societatem militiae, sed ad poenam vocatum arbitrabatur.</w:t>
              <w:br/>
              <w:br/>
              <w:t>Igitur ad occupandum regem Cassandrum filium dato veneno subornat, qui cum fratribus Philippo et Iolla ministrare regi solebat, […]</w:t>
            </w:r>
          </w:p>
        </w:tc>
      </w:tr>
    </w:tbl>
    <w:p>
      <w:pPr>
        <w:spacing w:line="60" w:lineRule="exact" w:after="100"/>
      </w:pPr>
    </w:p>
    <w:p>
      <w:pPr>
        <w:pStyle w:val="Heading3"/>
        <w:pageBreakBefore w:val="0"/>
      </w:pPr>
      <w:r>
        <w:t>Aides pour construire la phrase</w:t>
      </w:r>
    </w:p>
    <w:p>
      <w:pPr>
        <w:spacing w:after="100"/>
      </w:pPr>
      <w:r>
        <w:rPr>
          <w:sz w:val="21"/>
        </w:rPr>
        <w:t>1. Antipater est le sujet sous-entendu d’arbitrabatur et de subornat ; retrouvez son nom dans le début du paragraphe [2].</w:t>
      </w:r>
    </w:p>
    <w:p>
      <w:pPr>
        <w:spacing w:after="100"/>
      </w:pPr>
      <w:r>
        <w:rPr>
          <w:sz w:val="21"/>
        </w:rPr>
        <w:t>2. Arbitrabatur est un imparfait déponent de sens actif. Se est le sujet accusatif de l’infinitive ; vocatum représente vocatum esse, infinitif parfait passif. A Macedonia indique la provenance.</w:t>
      </w:r>
    </w:p>
    <w:p>
      <w:pPr>
        <w:spacing w:after="100"/>
      </w:pPr>
      <w:r>
        <w:rPr>
          <w:sz w:val="21"/>
        </w:rPr>
        <w:t>3. Non ad… sed ad… oppose deux groupes exprimant le but ; conservez cette opposition dans votre traduction.</w:t>
      </w:r>
    </w:p>
    <w:p>
      <w:pPr>
        <w:spacing w:after="100"/>
      </w:pPr>
      <w:r>
        <w:rPr>
          <w:sz w:val="21"/>
        </w:rPr>
        <w:t>4. Ad occupandum regem exprime le but, avec un adjectif verbal accordé avec regem. Dato veneno est un ablatif absolu.</w:t>
      </w:r>
    </w:p>
    <w:p>
      <w:pPr>
        <w:spacing w:after="100"/>
      </w:pPr>
      <w:r>
        <w:rPr>
          <w:sz w:val="21"/>
        </w:rPr>
        <w:t>5. Qui reprend Cassandre. Dans cum fratribus, cum est une préposition suivie de l’ablatif. Ministrare complète solebat ; regi est au datif.</w:t>
      </w:r>
    </w:p>
    <w:p>
      <w:pPr>
        <w:pStyle w:val="Heading3"/>
        <w:pageBreakBefore w:val="0"/>
      </w:pPr>
      <w:r>
        <w:t>Mots utiles pour cette traduction</w:t>
      </w:r>
    </w:p>
    <w:p>
      <w:pPr>
        <w:spacing w:after="100"/>
      </w:pPr>
      <w:r>
        <w:rPr>
          <w:i/>
          <w:sz w:val="21"/>
        </w:rPr>
        <w:t>res, rei, f.</w:t>
      </w:r>
      <w:r>
        <w:rPr>
          <w:sz w:val="21"/>
        </w:rPr>
        <w:t xml:space="preserve"> : fait, circonstance ; </w:t>
      </w:r>
      <w:r>
        <w:rPr>
          <w:i/>
          <w:sz w:val="21"/>
        </w:rPr>
        <w:t>societas, -atis, f.</w:t>
      </w:r>
      <w:r>
        <w:rPr>
          <w:sz w:val="21"/>
        </w:rPr>
        <w:t xml:space="preserve"> : participation, association ; </w:t>
      </w:r>
      <w:r>
        <w:rPr>
          <w:i/>
          <w:sz w:val="21"/>
        </w:rPr>
        <w:t>militia, -ae, f.</w:t>
      </w:r>
      <w:r>
        <w:rPr>
          <w:sz w:val="21"/>
        </w:rPr>
        <w:t xml:space="preserve"> : campagne, service militaire ; </w:t>
      </w:r>
      <w:r>
        <w:rPr>
          <w:i/>
          <w:sz w:val="21"/>
        </w:rPr>
        <w:t>poena, -ae, f.</w:t>
      </w:r>
      <w:r>
        <w:rPr>
          <w:sz w:val="21"/>
        </w:rPr>
        <w:t xml:space="preserve"> : châtiment ; </w:t>
      </w:r>
      <w:r>
        <w:rPr>
          <w:i/>
          <w:sz w:val="21"/>
        </w:rPr>
        <w:t>voco, -as, -are, -avi, -atum</w:t>
      </w:r>
      <w:r>
        <w:rPr>
          <w:sz w:val="21"/>
        </w:rPr>
        <w:t xml:space="preserve"> : appeler, convoquer ; </w:t>
      </w:r>
      <w:r>
        <w:rPr>
          <w:i/>
          <w:sz w:val="21"/>
        </w:rPr>
        <w:t>occupo, -as, -are, -avi, -atum</w:t>
      </w:r>
      <w:r>
        <w:rPr>
          <w:sz w:val="21"/>
        </w:rPr>
        <w:t xml:space="preserve"> : ici : devancer.</w:t>
      </w:r>
    </w:p>
    <w:p>
      <w:pPr>
        <w:spacing w:after="100"/>
      </w:pPr>
      <w:r>
        <w:rPr>
          <w:i/>
          <w:sz w:val="21"/>
        </w:rPr>
        <w:t>do, das, dare, dedi, datum</w:t>
      </w:r>
      <w:r>
        <w:rPr>
          <w:sz w:val="21"/>
        </w:rPr>
        <w:t xml:space="preserve"> : donner ; </w:t>
      </w:r>
      <w:r>
        <w:rPr>
          <w:i/>
          <w:sz w:val="21"/>
        </w:rPr>
        <w:t>soleo, -es, -ere, solitus sum</w:t>
      </w:r>
      <w:r>
        <w:rPr>
          <w:sz w:val="21"/>
        </w:rPr>
        <w:t xml:space="preserve"> : avoir l’habitude.</w:t>
      </w:r>
    </w:p>
    <w:p>
      <w:pPr>
        <w:keepNext/>
        <w:spacing w:after="80"/>
      </w:pPr>
      <w:r>
        <w:t>Traduisez ce passage en conservant la pensée d’Antipater, l’opposition entre les deux motifs de son rappel et l’ordre des actions. Vous pouvez partager la seconde phrase en plusieurs phrases françaises. Arrêtez-vous à solebat ; la suite figure dans le cadre original de L2.</w:t>
      </w:r>
    </w:p>
    <w:p>
      <w:pPr>
        <w:spacing w:after="180" w:line="240" w:lineRule="auto"/>
        <w:ind w:left="0" w:right="0" w:firstLine="0"/>
        <w:jc w:val="left"/>
      </w:pPr>
      <w:r>
        <w:drawing>
          <wp:inline xmlns:a="http://schemas.openxmlformats.org/drawingml/2006/main" xmlns:pic="http://schemas.openxmlformats.org/drawingml/2006/picture">
            <wp:extent cx="6263999" cy="2304000"/>
            <wp:docPr id="8" name="Picture 8" descr="8 lignes Seyès pour L2_traduction_guidee avec pas principal de 8 mm et interlignes de 2 mm"/>
            <wp:cNvGraphicFramePr>
              <a:graphicFrameLocks noChangeAspect="1"/>
            </wp:cNvGraphicFramePr>
            <a:graphic>
              <a:graphicData uri="http://schemas.openxmlformats.org/drawingml/2006/picture">
                <pic:pic>
                  <pic:nvPicPr>
                    <pic:cNvPr id="0" name="seyes_8_lignes.png"/>
                    <pic:cNvPicPr/>
                  </pic:nvPicPr>
                  <pic:blipFill>
                    <a:blip r:embed="rId34"/>
                    <a:stretch>
                      <a:fillRect/>
                    </a:stretch>
                  </pic:blipFill>
                  <pic:spPr>
                    <a:xfrm>
                      <a:off x="0" y="0"/>
                      <a:ext cx="6263999" cy="2304000"/>
                    </a:xfrm>
                    <a:prstGeom prst="rect"/>
                  </pic:spPr>
                </pic:pic>
              </a:graphicData>
            </a:graphic>
          </wp:inline>
        </w:drawing>
      </w:r>
    </w:p>
    <w:p>
      <w:pPr>
        <w:pStyle w:val="Heading1"/>
        <w:pageBreakBefore/>
      </w:pPr>
      <w:r>
        <w:t>L2 Lire, traduire et interpréter</w:t>
      </w:r>
    </w:p>
    <w:p>
      <w:r>
        <w:t>Revenez au cadre latin chaque fois que votre réponse cite une expression. Une traduction peut demander plusieurs essais : gardez les mots qui vous permettent d’expliquer votre choix, puis cherchez une phrase française que l’on puisse entendre sans perdre la nuance du récit.</w:t>
      </w:r>
    </w:p>
    <w:p>
      <w:pPr>
        <w:keepNext/>
        <w:spacing w:after="80"/>
      </w:pPr>
      <w:r>
        <w:t>2. Dans se quoque a Macedonia non ad societatem militiae, sed ad poenam vocatum arbitrabatur, identifiez le verbe qui introduit la pensée rapportée. Expliquez à qui renvoie se et quel infinitif est représenté par vocatum, puis proposez une traduction.</w:t>
      </w:r>
    </w:p>
    <w:p>
      <w:pPr>
        <w:spacing w:after="180" w:line="240" w:lineRule="auto"/>
        <w:ind w:left="0" w:right="0" w:firstLine="0"/>
        <w:jc w:val="left"/>
      </w:pPr>
      <w:r>
        <w:drawing>
          <wp:inline xmlns:a="http://schemas.openxmlformats.org/drawingml/2006/main" xmlns:pic="http://schemas.openxmlformats.org/drawingml/2006/picture">
            <wp:extent cx="6263999" cy="1728000"/>
            <wp:docPr id="9" name="Picture 9" descr="6 lignes Seyès pour L2_lecture_2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keepNext/>
        <w:spacing w:after="80"/>
      </w:pPr>
      <w:r>
        <w:t>3. Analysez ne alii quam Thessalo et fratribus crederet puis tanta vis fuit, ut non… contineretur. Quelle relation chaque subordonnée exprime-t-elle ? Les subjonctifs constituent-ils ici une marque de doute historique ?</w:t>
      </w:r>
    </w:p>
    <w:p>
      <w:pPr>
        <w:spacing w:after="180" w:line="240" w:lineRule="auto"/>
        <w:ind w:left="0" w:right="0" w:firstLine="0"/>
        <w:jc w:val="left"/>
      </w:pPr>
      <w:r>
        <w:drawing>
          <wp:inline xmlns:a="http://schemas.openxmlformats.org/drawingml/2006/main" xmlns:pic="http://schemas.openxmlformats.org/drawingml/2006/picture">
            <wp:extent cx="6263999" cy="1728000"/>
            <wp:docPr id="10" name="Picture 10" descr="6 lignes Seyès pour L2_lecture_3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keepNext/>
        <w:spacing w:after="80"/>
      </w:pPr>
      <w:r>
        <w:t>4. Comparez l’affirmation Auctor insidiarum Antipater fuit avec Veneno necatum esse credidere plerique chez Quinte-Curce (L1). Qui prend en charge chaque accusation ? Expliquez pourquoi l’assurance d’un narrateur ne suffit pas, à elle seule, à démontrer l’empoisonnement.</w:t>
      </w:r>
    </w:p>
    <w:p>
      <w:pPr>
        <w:spacing w:after="180" w:line="240" w:lineRule="auto"/>
        <w:ind w:left="0" w:right="0" w:firstLine="0"/>
        <w:jc w:val="left"/>
      </w:pPr>
      <w:r>
        <w:drawing>
          <wp:inline xmlns:a="http://schemas.openxmlformats.org/drawingml/2006/main" xmlns:pic="http://schemas.openxmlformats.org/drawingml/2006/picture">
            <wp:extent cx="6263999" cy="1728000"/>
            <wp:docPr id="11" name="Picture 11" descr="6 lignes Seyès pour L2_lecture_4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pStyle w:val="Heading1"/>
        <w:pageBreakBefore/>
      </w:pPr>
      <w:r>
        <w:t>L3 Tacite un désastre, des secours et une rumeur</w:t>
      </w:r>
    </w:p>
    <w:p>
      <w:pPr>
        <w:spacing w:after="100"/>
      </w:pPr>
      <w:r>
        <w:rPr>
          <w:sz w:val="21"/>
        </w:rPr>
        <w:t>Annales, XV, 38 (première phrase) et 39, 1–3.</w:t>
      </w:r>
    </w:p>
    <w:p>
      <w:r>
        <w:t>Le grand incendie de Rome, en 64, laisse une population désemparée. Tacite met en regard les versions sur son origine, les secours organisés par Néron et la rumeur qui attribue à l’empereur un spectacle privé pendant le désastre.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Sequitur clades, forte an dolo principis incertum (nam utrumque auctores prodidere), sed omnibus quae huic urbi per violentiam ignium acciderunt gravior atque atrocior.</w:t>
            </w:r>
          </w:p>
          <w:p>
            <w:pPr>
              <w:spacing w:after="120" w:line="264" w:lineRule="auto"/>
            </w:pPr>
            <w:r>
              <w:rPr>
                <w:rFonts w:ascii="Arial" w:hAnsi="Arial"/>
                <w:sz w:val="24"/>
                <w:lang w:val="la-Latn"/>
              </w:rPr>
              <w:t>[…]</w:t>
            </w:r>
          </w:p>
          <w:p>
            <w:pPr>
              <w:spacing w:after="120" w:line="264" w:lineRule="auto"/>
            </w:pPr>
            <w:r>
              <w:rPr>
                <w:rFonts w:ascii="Arial" w:hAnsi="Arial"/>
                <w:sz w:val="24"/>
                <w:lang w:val="la-Latn"/>
              </w:rPr>
              <w:t>[2] Eo in tempore Nero Antii agens non ante in urbem regressus est quam domui eius, qua Palatium et Maecenatis hortos continuaverat, ignis propinquaret. neque tamen sisti potuit quin et Palatium et domus et cuncta circum haurirentur.</w:t>
            </w:r>
          </w:p>
          <w:p>
            <w:pPr>
              <w:spacing w:after="120" w:line="264" w:lineRule="auto"/>
            </w:pPr>
            <w:r>
              <w:rPr>
                <w:rFonts w:ascii="Arial" w:hAnsi="Arial"/>
                <w:sz w:val="24"/>
                <w:lang w:val="la-Latn"/>
              </w:rPr>
              <w:t>[3] sed solacium populo exturbato ac profugo campum Martis ac monumenta Agrippae, hortos quin etiam suos patefecit et subitaria aedificia extruxit quae multitudinem inopem acciperent; subvectaque utensilia ab Ostia et propinquis municipiis pretiumque frumenti minutum usque ad ternos nummos.</w:t>
            </w:r>
          </w:p>
          <w:p>
            <w:pPr>
              <w:spacing w:after="0" w:line="264" w:lineRule="auto"/>
            </w:pPr>
            <w:r>
              <w:rPr>
                <w:rFonts w:ascii="Arial" w:hAnsi="Arial"/>
                <w:sz w:val="24"/>
                <w:lang w:val="la-Latn"/>
              </w:rPr>
              <w:t>[4] quae quamquam popularia in inritum cadebant, quia pervaserat rumor ipso tempore flagrantis urbis inisse eum domesticam scaenam et cecinisse Troianum excidium, praesentia mala vetustis cladibus adsimulantem.</w:t>
            </w:r>
          </w:p>
        </w:tc>
      </w:tr>
    </w:tbl>
    <w:p>
      <w:pPr>
        <w:spacing w:line="60" w:lineRule="exact" w:after="100"/>
      </w:pPr>
    </w:p>
    <w:p>
      <w:pPr>
        <w:spacing w:after="100"/>
      </w:pPr>
      <w:r>
        <w:rPr>
          <w:sz w:val="21"/>
        </w:rPr>
        <w:t>La suite du chapitre 38, qui décrit la propagation du feu et le désarroi des habitants, est omise. Le chapitre 39 est reproduit intégralement. Les numéros entre crochets sont des repères de lecture ajoutés.</w:t>
      </w:r>
    </w:p>
    <w:p>
      <w:pPr>
        <w:pStyle w:val="Heading3"/>
        <w:pageBreakBefore w:val="0"/>
      </w:pPr>
      <w:r>
        <w:t>Vocabulaire pour entrer dans le passage</w:t>
      </w:r>
    </w:p>
    <w:p>
      <w:pPr>
        <w:spacing w:after="100"/>
      </w:pPr>
      <w:r>
        <w:rPr>
          <w:i/>
          <w:sz w:val="21"/>
        </w:rPr>
        <w:t>clades, cladis, f.</w:t>
      </w:r>
      <w:r>
        <w:rPr>
          <w:sz w:val="21"/>
        </w:rPr>
        <w:t xml:space="preserve"> : désastre, catastrophe ; </w:t>
      </w:r>
      <w:r>
        <w:rPr>
          <w:i/>
          <w:sz w:val="21"/>
        </w:rPr>
        <w:t>fors, fortis, f. ; ici forte à l’ablatif</w:t>
      </w:r>
      <w:r>
        <w:rPr>
          <w:sz w:val="21"/>
        </w:rPr>
        <w:t xml:space="preserve"> : hasard ; forte : par hasard, par accident ; </w:t>
      </w:r>
      <w:r>
        <w:rPr>
          <w:i/>
          <w:sz w:val="21"/>
        </w:rPr>
        <w:t>dolus, -i, m.</w:t>
      </w:r>
      <w:r>
        <w:rPr>
          <w:sz w:val="21"/>
        </w:rPr>
        <w:t xml:space="preserve"> : ruse, manœuvre, intention frauduleuse ; </w:t>
      </w:r>
      <w:r>
        <w:rPr>
          <w:i/>
          <w:sz w:val="21"/>
        </w:rPr>
        <w:t>prodo, prodere, prodidi, proditum</w:t>
      </w:r>
      <w:r>
        <w:rPr>
          <w:sz w:val="21"/>
        </w:rPr>
        <w:t xml:space="preserve"> : rapporter, transmettre ; prodidere = prodiderunt ; </w:t>
      </w:r>
      <w:r>
        <w:rPr>
          <w:i/>
          <w:sz w:val="21"/>
        </w:rPr>
        <w:t>solacium, -ii, n.</w:t>
      </w:r>
      <w:r>
        <w:rPr>
          <w:sz w:val="21"/>
        </w:rPr>
        <w:t xml:space="preserve"> : secours, soulagement ; </w:t>
      </w:r>
      <w:r>
        <w:rPr>
          <w:i/>
          <w:sz w:val="21"/>
        </w:rPr>
        <w:t>profugus, -a, -um</w:t>
      </w:r>
      <w:r>
        <w:rPr>
          <w:sz w:val="21"/>
        </w:rPr>
        <w:t xml:space="preserve"> : sans refuge, en fuite.</w:t>
      </w:r>
    </w:p>
    <w:p>
      <w:pPr>
        <w:spacing w:after="100"/>
      </w:pPr>
      <w:r>
        <w:rPr>
          <w:i/>
          <w:sz w:val="21"/>
        </w:rPr>
        <w:t>patefacio, patefacere, patefeci, patefactum</w:t>
      </w:r>
      <w:r>
        <w:rPr>
          <w:sz w:val="21"/>
        </w:rPr>
        <w:t xml:space="preserve"> : ouvrir, rendre accessible ; </w:t>
      </w:r>
      <w:r>
        <w:rPr>
          <w:i/>
          <w:sz w:val="21"/>
        </w:rPr>
        <w:t>subveho, subvehere, subvexi, subvectum</w:t>
      </w:r>
      <w:r>
        <w:rPr>
          <w:sz w:val="21"/>
        </w:rPr>
        <w:t xml:space="preserve"> : apporter, transporter ; </w:t>
      </w:r>
      <w:r>
        <w:rPr>
          <w:i/>
          <w:sz w:val="21"/>
        </w:rPr>
        <w:t>inops, inopis</w:t>
      </w:r>
      <w:r>
        <w:rPr>
          <w:sz w:val="21"/>
        </w:rPr>
        <w:t xml:space="preserve"> : démuni, sans ressources ; </w:t>
      </w:r>
      <w:r>
        <w:rPr>
          <w:i/>
          <w:sz w:val="21"/>
        </w:rPr>
        <w:t>pervado, pervadere, pervasi, pervasum</w:t>
      </w:r>
      <w:r>
        <w:rPr>
          <w:sz w:val="21"/>
        </w:rPr>
        <w:t xml:space="preserve"> : se répandre, parcourir ; </w:t>
      </w:r>
      <w:r>
        <w:rPr>
          <w:i/>
          <w:sz w:val="21"/>
        </w:rPr>
        <w:t>rumor, rumoris, m.</w:t>
      </w:r>
      <w:r>
        <w:rPr>
          <w:sz w:val="21"/>
        </w:rPr>
        <w:t xml:space="preserve"> : rumeur, bruit qui circule ; </w:t>
      </w:r>
      <w:r>
        <w:rPr>
          <w:i/>
          <w:sz w:val="21"/>
        </w:rPr>
        <w:t>adsimulo, -are, -avi, -atum</w:t>
      </w:r>
      <w:r>
        <w:rPr>
          <w:sz w:val="21"/>
        </w:rPr>
        <w:t xml:space="preserve"> : comparer, assimiler ; construction avec accusatif et datif.</w:t>
      </w:r>
    </w:p>
    <w:p>
      <w:pPr>
        <w:spacing w:after="100"/>
      </w:pPr>
      <w:r>
        <w:rPr>
          <w:i/>
          <w:sz w:val="21"/>
        </w:rPr>
        <w:t>minuo, -is, -ere, minui, minutum</w:t>
      </w:r>
      <w:r>
        <w:rPr>
          <w:sz w:val="21"/>
        </w:rPr>
        <w:t xml:space="preserve"> : réduire, abaisser ; </w:t>
      </w:r>
      <w:r>
        <w:rPr>
          <w:i/>
          <w:sz w:val="21"/>
        </w:rPr>
        <w:t>terni, -ae, -a</w:t>
      </w:r>
      <w:r>
        <w:rPr>
          <w:sz w:val="21"/>
        </w:rPr>
        <w:t xml:space="preserve"> : trois chacun ; ici trois, dans ad ternos nummos.</w:t>
      </w:r>
    </w:p>
    <w:p>
      <w:pPr>
        <w:keepNext/>
        <w:spacing w:after="80"/>
      </w:pPr>
      <w:r>
        <w:t>1. Dès la première phrase, Tacite hésite entre deux explications du désastre. Relevez les mots qui expriment cette hésitation, puis expliquez ce que la parenthèse consacrée aux auctores nous apprend sur son travail. Identifiez la forme prodidere.</w:t>
      </w:r>
    </w:p>
    <w:p>
      <w:pPr>
        <w:spacing w:after="180" w:line="240" w:lineRule="auto"/>
        <w:ind w:left="0" w:right="0" w:firstLine="0"/>
        <w:jc w:val="left"/>
      </w:pPr>
      <w:r>
        <w:drawing>
          <wp:inline xmlns:a="http://schemas.openxmlformats.org/drawingml/2006/main" xmlns:pic="http://schemas.openxmlformats.org/drawingml/2006/picture">
            <wp:extent cx="6263999" cy="1440000"/>
            <wp:docPr id="12" name="Picture 12" descr="5 lignes Seyès pour L3_lecture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pStyle w:val="Heading1"/>
        <w:pageBreakBefore/>
      </w:pPr>
      <w:r>
        <w:t>L3 Construire et traduire le latin</w:t>
      </w:r>
    </w:p>
    <w:p>
      <w:pPr>
        <w:spacing w:after="100"/>
      </w:pPr>
      <w:r>
        <w:rPr>
          <w:sz w:val="21"/>
        </w:rPr>
        <w:t>Paragraphe [3] du cadre L3 : Tacite, Annales, XV, 39, 2, sans coupure.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sed solacium populo exturbato ac profugo campum Martis ac monumenta Agrippae, hortos quin etiam suos patefecit et subitaria aedificia extruxit quae multitudinem inopem acciperent; subvectaque utensilia ab Ostia et propinquis municipiis pretiumque frumenti minutum usque ad ternos nummos.</w:t>
            </w:r>
          </w:p>
        </w:tc>
      </w:tr>
    </w:tbl>
    <w:p>
      <w:pPr>
        <w:spacing w:line="60" w:lineRule="exact" w:after="100"/>
      </w:pPr>
    </w:p>
    <w:p>
      <w:pPr>
        <w:pStyle w:val="Heading3"/>
        <w:pageBreakBefore w:val="0"/>
      </w:pPr>
      <w:r>
        <w:t>Aides pour construire la phrase</w:t>
      </w:r>
    </w:p>
    <w:p>
      <w:pPr>
        <w:spacing w:after="100"/>
      </w:pPr>
      <w:r>
        <w:rPr>
          <w:sz w:val="21"/>
        </w:rPr>
        <w:t>1. Partez de patefecit et extruxit : retrouvez leur sujet dans le contexte, puis les groupes à l’accusatif qui dépendent de chacun.</w:t>
      </w:r>
    </w:p>
    <w:p>
      <w:pPr>
        <w:spacing w:after="100"/>
      </w:pPr>
      <w:r>
        <w:rPr>
          <w:sz w:val="21"/>
        </w:rPr>
        <w:t>2. Solacium est en apposition aux lieux offerts comme secours. Populo est au datif ; exturbato et profugo s’y rattachent. Martis et Agrippae désignent Mars et Agrippa.</w:t>
      </w:r>
    </w:p>
    <w:p>
      <w:pPr>
        <w:spacing w:after="100"/>
      </w:pPr>
      <w:r>
        <w:rPr>
          <w:sz w:val="21"/>
        </w:rPr>
        <w:t>3. Dans quae multitudinem inopem acciperent, retrouvez l’antécédent de quae. La relative précise la destination des bâtiments : faites entendre cette idée en français.</w:t>
      </w:r>
    </w:p>
    <w:p>
      <w:pPr>
        <w:spacing w:after="100"/>
      </w:pPr>
      <w:r>
        <w:rPr>
          <w:sz w:val="21"/>
        </w:rPr>
        <w:t>4. Subvecta et minutum sont des participes parfaits passifs, avec sunt et est sous-entendus. Construisez chaque groupe à partir du nom auquel le participe s’accorde.</w:t>
      </w:r>
    </w:p>
    <w:p>
      <w:pPr>
        <w:spacing w:after="100"/>
      </w:pPr>
      <w:r>
        <w:rPr>
          <w:sz w:val="21"/>
        </w:rPr>
        <w:t>5. Ab Ostia et propinquis municipiis indique la provenance ; usque ad ternos nummos, une limite. Frumenti complète pretium ; aucune unité de volume n’est précisée.</w:t>
      </w:r>
    </w:p>
    <w:p>
      <w:pPr>
        <w:pStyle w:val="Heading3"/>
        <w:pageBreakBefore w:val="0"/>
      </w:pPr>
      <w:r>
        <w:t>Mots utiles pour cette traduction</w:t>
      </w:r>
    </w:p>
    <w:p>
      <w:pPr>
        <w:spacing w:after="100"/>
      </w:pPr>
      <w:r>
        <w:rPr>
          <w:i/>
          <w:sz w:val="21"/>
        </w:rPr>
        <w:t>subitarius, -a, -um</w:t>
      </w:r>
      <w:r>
        <w:rPr>
          <w:sz w:val="21"/>
        </w:rPr>
        <w:t xml:space="preserve"> : improvisé, construit dans l'urgence ; </w:t>
      </w:r>
      <w:r>
        <w:rPr>
          <w:i/>
          <w:sz w:val="21"/>
        </w:rPr>
        <w:t>multitudo, multitudinis, f.</w:t>
      </w:r>
      <w:r>
        <w:rPr>
          <w:sz w:val="21"/>
        </w:rPr>
        <w:t xml:space="preserve"> : foule, multitude ; </w:t>
      </w:r>
      <w:r>
        <w:rPr>
          <w:i/>
          <w:sz w:val="21"/>
        </w:rPr>
        <w:t>accipio, accipere, accepi, acceptum</w:t>
      </w:r>
      <w:r>
        <w:rPr>
          <w:sz w:val="21"/>
        </w:rPr>
        <w:t xml:space="preserve"> : recevoir, accueillir ; </w:t>
      </w:r>
      <w:r>
        <w:rPr>
          <w:i/>
          <w:sz w:val="21"/>
        </w:rPr>
        <w:t>utensilia, utensilium, n. pl.</w:t>
      </w:r>
      <w:r>
        <w:rPr>
          <w:sz w:val="21"/>
        </w:rPr>
        <w:t xml:space="preserve"> : provisions, vivres ; </w:t>
      </w:r>
      <w:r>
        <w:rPr>
          <w:i/>
          <w:sz w:val="21"/>
        </w:rPr>
        <w:t>municipium, -ii, n.</w:t>
      </w:r>
      <w:r>
        <w:rPr>
          <w:sz w:val="21"/>
        </w:rPr>
        <w:t xml:space="preserve"> : municipe, cité ; ici commune voisine ; </w:t>
      </w:r>
      <w:r>
        <w:rPr>
          <w:i/>
          <w:sz w:val="21"/>
        </w:rPr>
        <w:t>pretium, -ii, n.</w:t>
      </w:r>
      <w:r>
        <w:rPr>
          <w:sz w:val="21"/>
        </w:rPr>
        <w:t xml:space="preserve"> : prix.</w:t>
      </w:r>
    </w:p>
    <w:p>
      <w:pPr>
        <w:spacing w:after="100"/>
      </w:pPr>
      <w:r>
        <w:rPr>
          <w:i/>
          <w:sz w:val="21"/>
        </w:rPr>
        <w:t>frumentum, -i, n.</w:t>
      </w:r>
      <w:r>
        <w:rPr>
          <w:sz w:val="21"/>
        </w:rPr>
        <w:t xml:space="preserve"> : blé ; </w:t>
      </w:r>
      <w:r>
        <w:rPr>
          <w:i/>
          <w:sz w:val="21"/>
        </w:rPr>
        <w:t>nummus, -i, m.</w:t>
      </w:r>
      <w:r>
        <w:rPr>
          <w:sz w:val="21"/>
        </w:rPr>
        <w:t xml:space="preserve"> : monnaie ; ici sesterce ; </w:t>
      </w:r>
      <w:r>
        <w:rPr>
          <w:i/>
          <w:sz w:val="21"/>
        </w:rPr>
        <w:t>exturbo, -as, -are, -avi, -atum</w:t>
      </w:r>
      <w:r>
        <w:rPr>
          <w:sz w:val="21"/>
        </w:rPr>
        <w:t xml:space="preserve"> : chasser ; ici chasser de chez soi ; </w:t>
      </w:r>
      <w:r>
        <w:rPr>
          <w:i/>
          <w:sz w:val="21"/>
        </w:rPr>
        <w:t>extruo, -is, -ere, extruxi, extructum</w:t>
      </w:r>
      <w:r>
        <w:rPr>
          <w:sz w:val="21"/>
        </w:rPr>
        <w:t xml:space="preserve"> : construire, élever ; </w:t>
      </w:r>
      <w:r>
        <w:rPr>
          <w:i/>
          <w:sz w:val="21"/>
        </w:rPr>
        <w:t>minuo, -is, -ere, minui, minutum</w:t>
      </w:r>
      <w:r>
        <w:rPr>
          <w:sz w:val="21"/>
        </w:rPr>
        <w:t xml:space="preserve"> : réduire, abaisser ; </w:t>
      </w:r>
      <w:r>
        <w:rPr>
          <w:i/>
          <w:sz w:val="21"/>
        </w:rPr>
        <w:t>terni, -ae, -a</w:t>
      </w:r>
      <w:r>
        <w:rPr>
          <w:sz w:val="21"/>
        </w:rPr>
        <w:t xml:space="preserve"> : trois chacun ; ici trois, dans ad ternos nummos.</w:t>
      </w:r>
    </w:p>
    <w:p>
      <w:pPr>
        <w:keepNext/>
        <w:spacing w:after="80"/>
      </w:pPr>
      <w:r>
        <w:t>Traduisez les secours apportés aux habitants en retrouvant d’abord les verbes, leurs sujets et les groupes qui dépendent d’eux. Cherchez ensuite une phrase française qui conserve l’enchaînement des mesures prises par Néron.</w:t>
      </w:r>
    </w:p>
    <w:p>
      <w:pPr>
        <w:spacing w:after="180" w:line="240" w:lineRule="auto"/>
        <w:ind w:left="0" w:right="0" w:firstLine="0"/>
        <w:jc w:val="left"/>
      </w:pPr>
      <w:r>
        <w:drawing>
          <wp:inline xmlns:a="http://schemas.openxmlformats.org/drawingml/2006/main" xmlns:pic="http://schemas.openxmlformats.org/drawingml/2006/picture">
            <wp:extent cx="6263999" cy="2304000"/>
            <wp:docPr id="13" name="Picture 13" descr="8 lignes Seyès pour L3_traduction_guidee avec pas principal de 8 mm et interlignes de 2 mm"/>
            <wp:cNvGraphicFramePr>
              <a:graphicFrameLocks noChangeAspect="1"/>
            </wp:cNvGraphicFramePr>
            <a:graphic>
              <a:graphicData uri="http://schemas.openxmlformats.org/drawingml/2006/picture">
                <pic:pic>
                  <pic:nvPicPr>
                    <pic:cNvPr id="0" name="seyes_8_lignes.png"/>
                    <pic:cNvPicPr/>
                  </pic:nvPicPr>
                  <pic:blipFill>
                    <a:blip r:embed="rId34"/>
                    <a:stretch>
                      <a:fillRect/>
                    </a:stretch>
                  </pic:blipFill>
                  <pic:spPr>
                    <a:xfrm>
                      <a:off x="0" y="0"/>
                      <a:ext cx="6263999" cy="2304000"/>
                    </a:xfrm>
                    <a:prstGeom prst="rect"/>
                  </pic:spPr>
                </pic:pic>
              </a:graphicData>
            </a:graphic>
          </wp:inline>
        </w:drawing>
      </w:r>
    </w:p>
    <w:p>
      <w:pPr>
        <w:pStyle w:val="Heading1"/>
        <w:pageBreakBefore/>
      </w:pPr>
      <w:r>
        <w:t>L3 Lire, traduire et interpréter</w:t>
      </w:r>
    </w:p>
    <w:p>
      <w:r>
        <w:t>Revenez au cadre latin chaque fois que votre réponse cite une expression. Une traduction peut demander plusieurs essais : gardez les mots qui vous permettent d’expliquer votre choix, puis cherchez une phrase française que l’on puisse entendre sans perdre la nuance du récit.</w:t>
      </w:r>
    </w:p>
    <w:p>
      <w:pPr>
        <w:keepNext/>
        <w:spacing w:after="80"/>
      </w:pPr>
      <w:r>
        <w:t>2. Au paragraphe [3], relevez deux mesures prises pour les habitants qui ont tout perdu. Pourquoi leur présence nous oblige-t-elle à nuancer le portrait de Néron, même si le paragraphe suivant montre que ces secours ne suffisent pas à faire taire la rumeur ?</w:t>
      </w:r>
    </w:p>
    <w:p>
      <w:pPr>
        <w:spacing w:after="180" w:line="240" w:lineRule="auto"/>
        <w:ind w:left="0" w:right="0" w:firstLine="0"/>
        <w:jc w:val="left"/>
      </w:pPr>
      <w:r>
        <w:drawing>
          <wp:inline xmlns:a="http://schemas.openxmlformats.org/drawingml/2006/main" xmlns:pic="http://schemas.openxmlformats.org/drawingml/2006/picture">
            <wp:extent cx="6263999" cy="1152000"/>
            <wp:docPr id="14" name="Picture 14" descr="4 lignes Seyès pour L3_lecture_2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keepNext/>
        <w:spacing w:after="80"/>
      </w:pPr>
      <w:r>
        <w:t>3. Dans « pervaserat rumor […] inisse eum […] et cecinisse », identifiez le sujet de pervaserat et celui des infinitifs. Analysez inisse et cecinisse, puis traduisez le contenu de la rumeur, depuis ipso tempore jusqu’à Troianum excidium, en conservant la réserve du narrateur.</w:t>
      </w:r>
    </w:p>
    <w:p>
      <w:pPr>
        <w:spacing w:after="180" w:line="240" w:lineRule="auto"/>
        <w:ind w:left="0" w:right="0" w:firstLine="0"/>
        <w:jc w:val="left"/>
      </w:pPr>
      <w:r>
        <w:drawing>
          <wp:inline xmlns:a="http://schemas.openxmlformats.org/drawingml/2006/main" xmlns:pic="http://schemas.openxmlformats.org/drawingml/2006/picture">
            <wp:extent cx="6263999" cy="1728000"/>
            <wp:docPr id="15" name="Picture 15" descr="6 lignes Seyès pour L3_lecture_3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keepNext/>
        <w:spacing w:after="80"/>
      </w:pPr>
      <w:r>
        <w:t>4. Analysez adsimulantem : de quel verbe vient-il, quelle est sa forme et avec quel mot s’accorde-t-il ? Expliquez ensuite qui comparerait les malheurs de Rome à ceux de Troie, et pourquoi cette comparaison appartient encore au récit de la rumeur.</w:t>
      </w:r>
    </w:p>
    <w:p>
      <w:pPr>
        <w:spacing w:after="180" w:line="240" w:lineRule="auto"/>
        <w:ind w:left="0" w:right="0" w:firstLine="0"/>
        <w:jc w:val="left"/>
      </w:pPr>
      <w:r>
        <w:drawing>
          <wp:inline xmlns:a="http://schemas.openxmlformats.org/drawingml/2006/main" xmlns:pic="http://schemas.openxmlformats.org/drawingml/2006/picture">
            <wp:extent cx="6263999" cy="1152000"/>
            <wp:docPr id="16" name="Picture 16" descr="4 lignes Seyès pour L3_lecture_4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pStyle w:val="Heading1"/>
        <w:pageBreakBefore/>
      </w:pPr>
      <w:r>
        <w:t>L4 Suétone une accusation et des paroles prêtées à Néron</w:t>
      </w:r>
    </w:p>
    <w:p>
      <w:pPr>
        <w:spacing w:after="100"/>
      </w:pPr>
      <w:r>
        <w:rPr>
          <w:sz w:val="21"/>
        </w:rPr>
        <w:t>Nero, 38, 1 et 2, avec une coupure signalée à l’intérieur de 38, 2.</w:t>
      </w:r>
    </w:p>
    <w:p>
      <w:r>
        <w:t>Dans sa Vie de Néron, Suétone rassemble des scènes qui construisent un portrait accusateur de l’empereur. La force de son récit nous invite à observer avec soin les différences entre sa voix et les quelques paroles qu’il attribue à Néron.</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Sed nec populo aut moenibus patriae pepercit. dicente quodam in sermone communi: ἐμοῦ θανόντος γαῖα μειχθήτω πυρί, 'immo,' inquit, 'ἐμοῦ ζῶντος,' planeque ita fecit. nam quasi offensus deformitate ueterum aedificiorum et angustiis flexurisque uicorum, incendit urbem tam palam, ut plerique consulares cubicularios eius cum stuppa taedaque in praediis suis deprehensos non attigerint, et quaedam horrea circa domum Auream, quorum spatium maxime desiderabat, ut bellicis machinis labefacta atque inflammata sint, quod saxeo muro constructa erant.</w:t>
            </w:r>
          </w:p>
          <w:p>
            <w:pPr>
              <w:spacing w:after="0" w:line="264" w:lineRule="auto"/>
            </w:pPr>
            <w:r>
              <w:rPr>
                <w:rFonts w:ascii="Arial" w:hAnsi="Arial"/>
                <w:sz w:val="24"/>
                <w:lang w:val="la-Latn"/>
              </w:rPr>
              <w:t>[2] per sex dies septemque noctes ea clade saeuitum est ad monumentorum bustorumque deuersoria plebe compulsa. […] hoc incendium e turre Maecenatiana prospectans laetusque 'flammae,' ut aiebat, 'pulchritudine' Halosin Ilii in illo suo scaenico habitu decantauit.</w:t>
            </w:r>
          </w:p>
        </w:tc>
      </w:tr>
    </w:tbl>
    <w:p>
      <w:pPr>
        <w:spacing w:line="60" w:lineRule="exact" w:after="100"/>
      </w:pPr>
    </w:p>
    <w:p>
      <w:pPr>
        <w:spacing w:after="100"/>
      </w:pPr>
      <w:r>
        <w:rPr>
          <w:sz w:val="21"/>
        </w:rPr>
        <w:t>L’énumération des édifices détruits, en 38, 2, est omise et signalée par […]. Les numéros entre crochets sont des repères ajoutés.</w:t>
      </w:r>
    </w:p>
    <w:p>
      <w:pPr>
        <w:spacing w:after="100"/>
      </w:pPr>
      <w:r>
        <w:rPr>
          <w:sz w:val="21"/>
        </w:rPr>
        <w:t>Suétone cite ici quelques paroles en grec ; elles sont conservées dans leur langue d’origine et ne font pas partie des questions de traduction latine.</w:t>
      </w:r>
    </w:p>
    <w:p>
      <w:pPr>
        <w:spacing w:after="100"/>
      </w:pPr>
      <w:r>
        <w:rPr>
          <w:sz w:val="21"/>
        </w:rPr>
        <w:t>Aide pour les seules répliques grecques : « Une fois que je serai mort, que la terre se mêle au feu ! » Réponse de Néron : « De mon vivant ! » Halosin Ilii : « la Prise d’Ilion », c’est-à-dire de Troie.</w:t>
      </w:r>
    </w:p>
    <w:p>
      <w:pPr>
        <w:pStyle w:val="Heading3"/>
        <w:pageBreakBefore w:val="0"/>
      </w:pPr>
      <w:r>
        <w:t>Vocabulaire pour entrer dans le passage</w:t>
      </w:r>
    </w:p>
    <w:p>
      <w:pPr>
        <w:spacing w:after="100"/>
      </w:pPr>
      <w:r>
        <w:rPr>
          <w:i/>
          <w:sz w:val="21"/>
        </w:rPr>
        <w:t>parco, parcere, peperci, parsum + datif</w:t>
      </w:r>
      <w:r>
        <w:rPr>
          <w:sz w:val="21"/>
        </w:rPr>
        <w:t xml:space="preserve"> : épargner ; </w:t>
      </w:r>
      <w:r>
        <w:rPr>
          <w:i/>
          <w:sz w:val="21"/>
        </w:rPr>
        <w:t>moenia, moenium, n. pl.</w:t>
      </w:r>
      <w:r>
        <w:rPr>
          <w:sz w:val="21"/>
        </w:rPr>
        <w:t xml:space="preserve"> : murs, remparts ; </w:t>
      </w:r>
      <w:r>
        <w:rPr>
          <w:i/>
          <w:sz w:val="21"/>
        </w:rPr>
        <w:t>sermo, sermonis, m.</w:t>
      </w:r>
      <w:r>
        <w:rPr>
          <w:sz w:val="21"/>
        </w:rPr>
        <w:t xml:space="preserve"> : conversation, propos ; </w:t>
      </w:r>
      <w:r>
        <w:rPr>
          <w:i/>
          <w:sz w:val="21"/>
        </w:rPr>
        <w:t>inquam — verbe défectif ; ici inquit</w:t>
      </w:r>
      <w:r>
        <w:rPr>
          <w:sz w:val="21"/>
        </w:rPr>
        <w:t xml:space="preserve"> : dire ; inquit : dit-il ; </w:t>
      </w:r>
      <w:r>
        <w:rPr>
          <w:i/>
          <w:sz w:val="21"/>
        </w:rPr>
        <w:t>offendo, offendere, offendi, offensum</w:t>
      </w:r>
      <w:r>
        <w:rPr>
          <w:sz w:val="21"/>
        </w:rPr>
        <w:t xml:space="preserve"> : heurter, offenser ; offensus : choqué ; </w:t>
      </w:r>
      <w:r>
        <w:rPr>
          <w:i/>
          <w:sz w:val="21"/>
        </w:rPr>
        <w:t>cubicularius, -ii, m.</w:t>
      </w:r>
      <w:r>
        <w:rPr>
          <w:sz w:val="21"/>
        </w:rPr>
        <w:t xml:space="preserve"> : valet de chambre.</w:t>
      </w:r>
    </w:p>
    <w:p>
      <w:pPr>
        <w:spacing w:after="100"/>
      </w:pPr>
      <w:r>
        <w:rPr>
          <w:i/>
          <w:sz w:val="21"/>
        </w:rPr>
        <w:t>stuppa, -ae, f.</w:t>
      </w:r>
      <w:r>
        <w:rPr>
          <w:sz w:val="21"/>
        </w:rPr>
        <w:t xml:space="preserve"> : étoupe, matière végétale inflammable ; </w:t>
      </w:r>
      <w:r>
        <w:rPr>
          <w:i/>
          <w:sz w:val="21"/>
        </w:rPr>
        <w:t>taeda, -ae, f.</w:t>
      </w:r>
      <w:r>
        <w:rPr>
          <w:sz w:val="21"/>
        </w:rPr>
        <w:t xml:space="preserve"> : torche ; </w:t>
      </w:r>
      <w:r>
        <w:rPr>
          <w:i/>
          <w:sz w:val="21"/>
        </w:rPr>
        <w:t>deprehendo, deprehendere, deprehendi, deprehensum</w:t>
      </w:r>
      <w:r>
        <w:rPr>
          <w:sz w:val="21"/>
        </w:rPr>
        <w:t xml:space="preserve"> : surprendre, prendre sur le fait ; </w:t>
      </w:r>
      <w:r>
        <w:rPr>
          <w:i/>
          <w:sz w:val="21"/>
        </w:rPr>
        <w:t>horreum, -i, n.</w:t>
      </w:r>
      <w:r>
        <w:rPr>
          <w:sz w:val="21"/>
        </w:rPr>
        <w:t xml:space="preserve"> : entrepôt, grenier ; </w:t>
      </w:r>
      <w:r>
        <w:rPr>
          <w:i/>
          <w:sz w:val="21"/>
        </w:rPr>
        <w:t>labefacio, labefacere, labefeci, labefactum</w:t>
      </w:r>
      <w:r>
        <w:rPr>
          <w:sz w:val="21"/>
        </w:rPr>
        <w:t xml:space="preserve"> : ébranler, endommager ; </w:t>
      </w:r>
      <w:r>
        <w:rPr>
          <w:i/>
          <w:sz w:val="21"/>
        </w:rPr>
        <w:t>aio — verbe défectif ; ici aiebat, imparfait, 3e personne du singulier</w:t>
      </w:r>
      <w:r>
        <w:rPr>
          <w:sz w:val="21"/>
        </w:rPr>
        <w:t xml:space="preserve"> : dire, affirmer.</w:t>
      </w:r>
    </w:p>
    <w:p>
      <w:pPr>
        <w:keepNext/>
        <w:spacing w:after="80"/>
      </w:pPr>
      <w:r>
        <w:t>1. Dans l’ouverture du texte, distinguez celui qui cite la phrase grecque et celui qui lui répond. En vous aidant du sens des seules répliques grecques, expliquez ce que Néron change à la phrase entendue, puis analysez la construction dicente quodam. Quel mot latin introduit sa réponse ?</w:t>
      </w:r>
    </w:p>
    <w:p>
      <w:pPr>
        <w:spacing w:after="180" w:line="240" w:lineRule="auto"/>
        <w:ind w:left="0" w:right="0" w:firstLine="0"/>
        <w:jc w:val="left"/>
      </w:pPr>
      <w:r>
        <w:drawing>
          <wp:inline xmlns:a="http://schemas.openxmlformats.org/drawingml/2006/main" xmlns:pic="http://schemas.openxmlformats.org/drawingml/2006/picture">
            <wp:extent cx="6263999" cy="1440000"/>
            <wp:docPr id="17" name="Picture 17" descr="5 lignes Seyès pour L4_lecture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pStyle w:val="Heading1"/>
        <w:pageBreakBefore/>
      </w:pPr>
      <w:r>
        <w:t>L4 Construire et traduire le latin</w:t>
      </w:r>
    </w:p>
    <w:p>
      <w:pPr>
        <w:spacing w:after="100"/>
      </w:pPr>
      <w:r>
        <w:rPr>
          <w:sz w:val="21"/>
        </w:rPr>
        <w:t>Paragraphe [2] du cadre L4 : Suétone, Nero, 38, 2, première et dernière phrases. L’énumération des édifices détruits est omise et signalée par […].</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per sex dies septemque noctes ea clade saeuitum est ad monumentorum bustorumque deuersoria plebe compulsa. […] hoc incendium e turre Maecenatiana prospectans laetusque 'flammae,' ut aiebat, 'pulchritudine' Halosin Ilii in illo suo scaenico habitu decantauit.</w:t>
            </w:r>
          </w:p>
        </w:tc>
      </w:tr>
    </w:tbl>
    <w:p>
      <w:pPr>
        <w:spacing w:line="60" w:lineRule="exact" w:after="100"/>
      </w:pPr>
    </w:p>
    <w:p>
      <w:pPr>
        <w:pStyle w:val="Heading3"/>
        <w:pageBreakBefore w:val="0"/>
      </w:pPr>
      <w:r>
        <w:t>Aides pour construire la phrase</w:t>
      </w:r>
    </w:p>
    <w:p>
      <w:pPr>
        <w:spacing w:after="100"/>
      </w:pPr>
      <w:r>
        <w:rPr>
          <w:sz w:val="21"/>
        </w:rPr>
        <w:t xml:space="preserve">1. Le parfait passif </w:t>
      </w:r>
      <w:r>
        <w:rPr>
          <w:i/>
          <w:sz w:val="21"/>
        </w:rPr>
        <w:t>saeuitum est</w:t>
      </w:r>
      <w:r>
        <w:rPr>
          <w:sz w:val="21"/>
        </w:rPr>
        <w:t xml:space="preserve"> s’emploie ici de manière impersonnelle : ne cherchez pas de sujet nominatif. Per sex dies septemque noctes et ea clade accompagnent cette construction.</w:t>
      </w:r>
    </w:p>
    <w:p>
      <w:pPr>
        <w:spacing w:after="100"/>
      </w:pPr>
      <w:r>
        <w:rPr>
          <w:sz w:val="21"/>
        </w:rPr>
        <w:t>2. Plebe compulsa forme un ablatif absolu. Construisez ensemble le nom et le participe ; ad monumentorum bustorumque deuersoria précise les refuges vers lesquels le peuple est poussé.</w:t>
      </w:r>
    </w:p>
    <w:p>
      <w:pPr>
        <w:spacing w:after="100"/>
      </w:pPr>
      <w:r>
        <w:rPr>
          <w:sz w:val="21"/>
        </w:rPr>
        <w:t>3. Partez ensuite de decantauit et retrouvez son sujet. Prospectans, participe présent, et laetus, adjectif, décrivent ce personnage pendant l’action principale.</w:t>
      </w:r>
    </w:p>
    <w:p>
      <w:pPr>
        <w:spacing w:after="100"/>
      </w:pPr>
      <w:r>
        <w:rPr>
          <w:sz w:val="21"/>
        </w:rPr>
        <w:t>4. Flammae et pulchritudine sont à des cas différents. Cherchez le lien entre ces noms, puis rattachez pulchritudine à laetus, en tenant compte de ut aiebat.</w:t>
      </w:r>
    </w:p>
    <w:p>
      <w:pPr>
        <w:spacing w:after="100"/>
      </w:pPr>
      <w:r>
        <w:rPr>
          <w:sz w:val="21"/>
        </w:rPr>
        <w:t>5. E turre Maecenatiana indique le point d’observation ; in illo suo scaenico habitu, la tenue. Pour Halosin Ilii, reprenez l’aide donnée sous le texte entier.</w:t>
      </w:r>
    </w:p>
    <w:p>
      <w:pPr>
        <w:pStyle w:val="Heading3"/>
        <w:pageBreakBefore w:val="0"/>
      </w:pPr>
      <w:r>
        <w:t>Mots utiles pour cette traduction</w:t>
      </w:r>
    </w:p>
    <w:p>
      <w:pPr>
        <w:spacing w:after="100"/>
      </w:pPr>
      <w:r>
        <w:rPr>
          <w:i/>
          <w:sz w:val="21"/>
        </w:rPr>
        <w:t>saevio, saevire, saevii, saevitum</w:t>
      </w:r>
      <w:r>
        <w:rPr>
          <w:sz w:val="21"/>
        </w:rPr>
        <w:t xml:space="preserve"> : faire rage, se déchaîner ; </w:t>
      </w:r>
      <w:r>
        <w:rPr>
          <w:i/>
          <w:sz w:val="21"/>
        </w:rPr>
        <w:t>monumentum, -i, n.</w:t>
      </w:r>
      <w:r>
        <w:rPr>
          <w:sz w:val="21"/>
        </w:rPr>
        <w:t xml:space="preserve"> : monument ; </w:t>
      </w:r>
      <w:r>
        <w:rPr>
          <w:i/>
          <w:sz w:val="21"/>
        </w:rPr>
        <w:t>bustum, -i, n.</w:t>
      </w:r>
      <w:r>
        <w:rPr>
          <w:sz w:val="21"/>
        </w:rPr>
        <w:t xml:space="preserve"> : tombeau ; </w:t>
      </w:r>
      <w:r>
        <w:rPr>
          <w:i/>
          <w:sz w:val="21"/>
        </w:rPr>
        <w:t>deuersorium, -ii, n.</w:t>
      </w:r>
      <w:r>
        <w:rPr>
          <w:sz w:val="21"/>
        </w:rPr>
        <w:t xml:space="preserve"> : abri, lieu de refuge ; </w:t>
      </w:r>
      <w:r>
        <w:rPr>
          <w:i/>
          <w:sz w:val="21"/>
        </w:rPr>
        <w:t>compello, compellere, compuli, compulsum</w:t>
      </w:r>
      <w:r>
        <w:rPr>
          <w:sz w:val="21"/>
        </w:rPr>
        <w:t xml:space="preserve"> : pousser, contraindre ; </w:t>
      </w:r>
      <w:r>
        <w:rPr>
          <w:i/>
          <w:sz w:val="21"/>
        </w:rPr>
        <w:t>prospecto, prospectare, prospectavi, prospectatum</w:t>
      </w:r>
      <w:r>
        <w:rPr>
          <w:sz w:val="21"/>
        </w:rPr>
        <w:t xml:space="preserve"> : regarder de loin, contempler.</w:t>
      </w:r>
    </w:p>
    <w:p>
      <w:pPr>
        <w:spacing w:after="100"/>
      </w:pPr>
      <w:r>
        <w:rPr>
          <w:i/>
          <w:sz w:val="21"/>
        </w:rPr>
        <w:t>laetus, -a, -um</w:t>
      </w:r>
      <w:r>
        <w:rPr>
          <w:sz w:val="21"/>
        </w:rPr>
        <w:t xml:space="preserve"> : joyeux, réjoui ; </w:t>
      </w:r>
      <w:r>
        <w:rPr>
          <w:i/>
          <w:sz w:val="21"/>
        </w:rPr>
        <w:t>habitus, -us, m.</w:t>
      </w:r>
      <w:r>
        <w:rPr>
          <w:sz w:val="21"/>
        </w:rPr>
        <w:t xml:space="preserve"> : tenue, vêtement.</w:t>
      </w:r>
    </w:p>
    <w:p>
      <w:pPr>
        <w:keepNext/>
        <w:spacing w:after="80"/>
      </w:pPr>
      <w:r>
        <w:t>Traduisez ces deux phrases en conservant le passage du sort des habitants au spectacle attribué à Néron. Vous pourrez déplacer certains groupes pour construire un français clair, tout en gardant les mots cités et leur incise.</w:t>
      </w:r>
    </w:p>
    <w:p>
      <w:pPr>
        <w:spacing w:after="180" w:line="240" w:lineRule="auto"/>
        <w:ind w:left="0" w:right="0" w:firstLine="0"/>
        <w:jc w:val="left"/>
      </w:pPr>
      <w:r>
        <w:drawing>
          <wp:inline xmlns:a="http://schemas.openxmlformats.org/drawingml/2006/main" xmlns:pic="http://schemas.openxmlformats.org/drawingml/2006/picture">
            <wp:extent cx="6263999" cy="2304000"/>
            <wp:docPr id="18" name="Picture 18" descr="8 lignes Seyès pour L4_traduction_guidee avec pas principal de 8 mm et interlignes de 2 mm"/>
            <wp:cNvGraphicFramePr>
              <a:graphicFrameLocks noChangeAspect="1"/>
            </wp:cNvGraphicFramePr>
            <a:graphic>
              <a:graphicData uri="http://schemas.openxmlformats.org/drawingml/2006/picture">
                <pic:pic>
                  <pic:nvPicPr>
                    <pic:cNvPr id="0" name="seyes_8_lignes.png"/>
                    <pic:cNvPicPr/>
                  </pic:nvPicPr>
                  <pic:blipFill>
                    <a:blip r:embed="rId34"/>
                    <a:stretch>
                      <a:fillRect/>
                    </a:stretch>
                  </pic:blipFill>
                  <pic:spPr>
                    <a:xfrm>
                      <a:off x="0" y="0"/>
                      <a:ext cx="6263999" cy="2304000"/>
                    </a:xfrm>
                    <a:prstGeom prst="rect"/>
                  </pic:spPr>
                </pic:pic>
              </a:graphicData>
            </a:graphic>
          </wp:inline>
        </w:drawing>
      </w:r>
    </w:p>
    <w:p>
      <w:pPr>
        <w:pStyle w:val="Heading1"/>
        <w:pageBreakBefore/>
      </w:pPr>
      <w:r>
        <w:t>L4 Lire, traduire et interpréter</w:t>
      </w:r>
    </w:p>
    <w:p>
      <w:r>
        <w:t>Revenez au cadre latin chaque fois que votre réponse cite une expression. Une traduction peut demander plusieurs essais : gardez les mots qui vous permettent d’expliquer votre choix, puis cherchez une phrase française que l’on puisse entendre sans perdre la nuance du récit.</w:t>
      </w:r>
    </w:p>
    <w:p>
      <w:pPr>
        <w:keepNext/>
        <w:spacing w:after="80"/>
      </w:pPr>
      <w:r>
        <w:t>2. Traduisez « incendit urbem », puis précisez le sujet sous-entendu et la forme du verbe dans ce récit. Comparez cette affirmation à « forte an dolo principis incertum » chez Tacite : la réserve qui accompagne quasi offensus porte-t-elle sur l’incendie lui-même ou sur le motif prêté à Néron ?</w:t>
      </w:r>
    </w:p>
    <w:p>
      <w:pPr>
        <w:spacing w:after="180" w:line="240" w:lineRule="auto"/>
        <w:ind w:left="0" w:right="0" w:firstLine="0"/>
        <w:jc w:val="left"/>
      </w:pPr>
      <w:r>
        <w:drawing>
          <wp:inline xmlns:a="http://schemas.openxmlformats.org/drawingml/2006/main" xmlns:pic="http://schemas.openxmlformats.org/drawingml/2006/picture">
            <wp:extent cx="6263999" cy="1152000"/>
            <wp:docPr id="19" name="Picture 19" descr="4 lignes Seyès pour L4_lecture_2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keepNext/>
        <w:spacing w:after="80"/>
      </w:pPr>
      <w:r>
        <w:t>3. Observez « tam palam, ut […] non attigerint » et « ut […] labefacta atque inflammata sint ». Quel rapport logique ces propositions expriment-elles ? Analysez attigerint et inflammata sint, puis traduisez la conséquence depuis ut plerique consulares jusqu’à non attigerint.</w:t>
      </w:r>
    </w:p>
    <w:p>
      <w:pPr>
        <w:spacing w:after="180" w:line="240" w:lineRule="auto"/>
        <w:ind w:left="0" w:right="0" w:firstLine="0"/>
        <w:jc w:val="left"/>
      </w:pPr>
      <w:r>
        <w:drawing>
          <wp:inline xmlns:a="http://schemas.openxmlformats.org/drawingml/2006/main" xmlns:pic="http://schemas.openxmlformats.org/drawingml/2006/picture">
            <wp:extent cx="6263999" cy="1728000"/>
            <wp:docPr id="20" name="Picture 20" descr="6 lignes Seyès pour L4_lecture_3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keepNext/>
        <w:spacing w:after="80"/>
      </w:pPr>
      <w:r>
        <w:t>4. Dans la dernière phrase, quel procédé permet de rapporter quelques mots de Néron sans citer une phrase complète ? Analysez aiebat et expliquez à quels mots flammae et pulchritudine se rattachent. Comparez enfin decantauit à cecinisse chez Tacite : lequel des deux récits place le chant sous la dépendance d’une rumeur ?</w:t>
      </w:r>
    </w:p>
    <w:p>
      <w:pPr>
        <w:spacing w:after="180" w:line="240" w:lineRule="auto"/>
        <w:ind w:left="0" w:right="0" w:firstLine="0"/>
        <w:jc w:val="left"/>
      </w:pPr>
      <w:r>
        <w:drawing>
          <wp:inline xmlns:a="http://schemas.openxmlformats.org/drawingml/2006/main" xmlns:pic="http://schemas.openxmlformats.org/drawingml/2006/picture">
            <wp:extent cx="6263999" cy="1440000"/>
            <wp:docPr id="21" name="Picture 21" descr="5 lignes Seyès pour L4_lecture_4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pStyle w:val="Heading1"/>
        <w:pageBreakBefore/>
      </w:pPr>
      <w:r>
        <w:t>1 Identifier une voix et le degré de certitude</w:t>
      </w:r>
    </w:p>
    <w:p>
      <w:r>
        <w:t xml:space="preserve">Quand un récit nous bouleverse, il est tentant de retenir d’abord la scène la plus frappante, surtout si elle semble expliquer la mort d’un roi ou désigner le responsable d’un désastre. Le latin nous invite pourtant à ralentir : un verbe peut attribuer une affirmation à un groupe, un nom peut annoncer une rumeur, tandis qu’une expression d’assurance révèle ce que l’auteur présente comme établi. La </w:t>
      </w:r>
      <w:r>
        <w:rPr>
          <w:b/>
        </w:rPr>
        <w:t>modalisation</w:t>
      </w:r>
      <w:r>
        <w:t xml:space="preserve"> désigne les moyens par lesquels le locuteur manifeste son attitude envers son propos.</w:t>
      </w:r>
    </w:p>
    <w:tbl>
      <w:tblPr>
        <w:tblW w:type="auto" w:w="0"/>
        <w:jc w:val="center"/>
        <w:tblLayout w:type="fixed"/>
        <w:tblLook w:firstColumn="1" w:firstRow="1" w:lastColumn="0" w:lastRow="0" w:noHBand="0" w:noVBand="1" w:val="04A0"/>
      </w:tblPr>
      <w:tblGrid>
        <w:gridCol w:w="3855"/>
        <w:gridCol w:w="6009"/>
      </w:tblGrid>
      <w:tr>
        <w:trPr>
          <w:cantSplit/>
          <w:tblHeader/>
        </w:trPr>
        <w:tc>
          <w:tcPr>
            <w:tcW w:type="dxa" w:w="3855"/>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Formulation du corpus</w:t>
            </w:r>
          </w:p>
        </w:tc>
        <w:tc>
          <w:tcPr>
            <w:tcW w:type="dxa" w:w="600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Ce qu’elle permet d’observer</w:t>
            </w:r>
          </w:p>
        </w:tc>
      </w:tr>
      <w:tr>
        <w:trPr>
          <w:cantSplit/>
        </w:trPr>
        <w:tc>
          <w:tcPr>
            <w:tcW w:type="dxa" w:w="3855"/>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 credidere plerique »</w:t>
            </w:r>
          </w:p>
        </w:tc>
        <w:tc>
          <w:tcPr>
            <w:tcW w:type="dxa" w:w="600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Une croyance attribuée à la plupart des personnes évoquées ; leur nombre ne prouve pas le fait.</w:t>
            </w:r>
          </w:p>
        </w:tc>
      </w:tr>
      <w:tr>
        <w:trPr>
          <w:cantSplit/>
        </w:trPr>
        <w:tc>
          <w:tcPr>
            <w:tcW w:type="dxa" w:w="3855"/>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 pervaserat rumor »</w:t>
            </w:r>
          </w:p>
        </w:tc>
        <w:tc>
          <w:tcPr>
            <w:tcW w:type="dxa" w:w="600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L’existence d’une rumeur dont le contenu est ensuite rapporté.</w:t>
            </w:r>
          </w:p>
        </w:tc>
      </w:tr>
      <w:tr>
        <w:trPr>
          <w:cantSplit/>
        </w:trPr>
        <w:tc>
          <w:tcPr>
            <w:tcW w:type="dxa" w:w="3855"/>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 forte an dolo principis incertum »</w:t>
            </w:r>
          </w:p>
        </w:tc>
        <w:tc>
          <w:tcPr>
            <w:tcW w:type="dxa" w:w="600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Une alternative que Tacite laisse incertaine.</w:t>
            </w:r>
          </w:p>
        </w:tc>
      </w:tr>
      <w:tr>
        <w:trPr>
          <w:cantSplit/>
        </w:trPr>
        <w:tc>
          <w:tcPr>
            <w:tcW w:type="dxa" w:w="3855"/>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 ut aiebat »</w:t>
            </w:r>
          </w:p>
        </w:tc>
        <w:tc>
          <w:tcPr>
            <w:tcW w:type="dxa" w:w="600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Une appréciation attribuée à Néron, avec une portée locale.</w:t>
            </w:r>
          </w:p>
        </w:tc>
      </w:tr>
      <w:tr>
        <w:trPr>
          <w:cantSplit/>
        </w:trPr>
        <w:tc>
          <w:tcPr>
            <w:tcW w:type="dxa" w:w="3855"/>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 incendit urbem »</w:t>
            </w:r>
          </w:p>
        </w:tc>
        <w:tc>
          <w:tcPr>
            <w:tcW w:type="dxa" w:w="600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Suétone prend en charge une accusation dans le récit.</w:t>
            </w:r>
          </w:p>
        </w:tc>
      </w:tr>
    </w:tbl>
    <w:p>
      <w:pPr>
        <w:spacing w:line="60" w:lineRule="exact" w:after="100"/>
      </w:pPr>
    </w:p>
    <w:p>
      <w:pPr>
        <w:pStyle w:val="Heading2"/>
        <w:pageBreakBefore w:val="0"/>
      </w:pPr>
      <w:r>
        <w:t>Ne pas confondre attribution et réserve</w:t>
      </w:r>
    </w:p>
    <w:p>
      <w:r>
        <w:t xml:space="preserve">Nommer celui qui parle nous renseigne sur la provenance d’une affirmation ; cela ne signifie pas automatiquement que l’auteur la conteste. De même, lorsqu’une phrase est à l’indicatif, sa construction ne suffit pas à garantir sa vérité. Nous distinguerons donc la </w:t>
      </w:r>
      <w:r>
        <w:rPr>
          <w:b/>
        </w:rPr>
        <w:t>construction grammaticale</w:t>
      </w:r>
      <w:r>
        <w:t xml:space="preserve">, les </w:t>
      </w:r>
      <w:r>
        <w:rPr>
          <w:b/>
        </w:rPr>
        <w:t>marques d’attitude</w:t>
      </w:r>
      <w:r>
        <w:t xml:space="preserve"> et les éléments du récit qui permettraient, dans une enquête historique plus large, d’évaluer l’information.</w:t>
      </w:r>
    </w:p>
    <w:p>
      <w:r>
        <w:t>Pour rédiger une réponse, citez les mots latins utiles entre guillemets, expliquez leur construction, puis précisez ce qu’ils changent dans votre lecture. Une réserve doit être rattachée au propos qu’elle concerne ; elle ne s’étend pas nécessairement à tout le passage.</w:t>
      </w:r>
    </w:p>
    <w:p>
      <w:pPr>
        <w:pStyle w:val="Heading1"/>
        <w:pageBreakBefore/>
      </w:pPr>
      <w:r>
        <w:t>2 Comprendre la proposition infinitive</w:t>
      </w:r>
    </w:p>
    <w:p>
      <w:r>
        <w:t xml:space="preserve">Le discours direct présente des paroles comme citées, tandis que le discours indirect les intègre dans la phrase de celui qui les rapporte. En latin classique, après de nombreux verbes de parole, de pensée ou de perception, une déclaration rapportée prend la forme d’une </w:t>
      </w:r>
      <w:r>
        <w:rPr>
          <w:b/>
        </w:rPr>
        <w:t>proposition infinitive</w:t>
      </w:r>
      <w:r>
        <w:t xml:space="preserve"> : son sujet est à l’accusatif et son verbe à l’infinitif. On parle aussi d’</w:t>
      </w:r>
      <w:r>
        <w:rPr>
          <w:b/>
        </w:rPr>
        <w:t>accusatif avec infinitif</w:t>
      </w:r>
      <w:r>
        <w:t>, souvent abrégé ACI.</w:t>
      </w:r>
    </w:p>
    <w:p>
      <w:r>
        <w:t xml:space="preserve">Tous les exemples de cette leçon sont </w:t>
      </w:r>
      <w:r>
        <w:rPr>
          <w:b/>
        </w:rPr>
        <w:t>composés pour apprendre la construction</w:t>
      </w:r>
      <w:r>
        <w:t xml:space="preserve"> ; ils ne sont pas des paroles antiques authentiques.</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Iulia dicit : « Librum lego. »</w:t>
            </w:r>
          </w:p>
          <w:p>
            <w:pPr>
              <w:spacing w:after="0" w:line="264" w:lineRule="auto"/>
            </w:pPr>
            <w:r>
              <w:rPr>
                <w:rFonts w:ascii="Arial" w:hAnsi="Arial"/>
                <w:sz w:val="24"/>
                <w:lang w:val="la-Latn"/>
              </w:rPr>
              <w:t>Iulia dicit se librum legere.</w:t>
            </w:r>
          </w:p>
        </w:tc>
      </w:tr>
    </w:tbl>
    <w:p>
      <w:pPr>
        <w:spacing w:line="60" w:lineRule="exact" w:after="100"/>
      </w:pPr>
    </w:p>
    <w:p>
      <w:r>
        <w:t xml:space="preserve">Dans la seconde phrase, </w:t>
      </w:r>
      <w:r>
        <w:rPr>
          <w:i/>
        </w:rPr>
        <w:t>dicit</w:t>
      </w:r>
      <w:r>
        <w:t xml:space="preserve"> introduit le propos ; </w:t>
      </w:r>
      <w:r>
        <w:rPr>
          <w:i/>
        </w:rPr>
        <w:t>se</w:t>
      </w:r>
      <w:r>
        <w:t xml:space="preserve"> est le sujet de </w:t>
      </w:r>
      <w:r>
        <w:rPr>
          <w:i/>
        </w:rPr>
        <w:t>legere</w:t>
      </w:r>
      <w:r>
        <w:t xml:space="preserve"> et désigne Julia, tandis que </w:t>
      </w:r>
      <w:r>
        <w:rPr>
          <w:i/>
        </w:rPr>
        <w:t>librum</w:t>
      </w:r>
      <w:r>
        <w:t xml:space="preserve"> reste le complément d’objet direct de </w:t>
      </w:r>
      <w:r>
        <w:rPr>
          <w:i/>
        </w:rPr>
        <w:t>legere</w:t>
      </w:r>
      <w:r>
        <w:t xml:space="preserve">. La traduction « Julia dit qu’elle lit un livre » introduit un </w:t>
      </w:r>
      <w:r>
        <w:rPr>
          <w:b/>
        </w:rPr>
        <w:t>« que » français</w:t>
      </w:r>
      <w:r>
        <w:t>, qui ne correspond ici à aucune conjonction exprimée en latin.</w:t>
      </w:r>
    </w:p>
    <w:tbl>
      <w:tblPr>
        <w:tblW w:type="auto" w:w="0"/>
        <w:jc w:val="center"/>
        <w:tblLayout w:type="fixed"/>
        <w:tblLook w:firstColumn="1" w:firstRow="1" w:lastColumn="0" w:lastRow="0" w:noHBand="0" w:noVBand="1" w:val="04A0"/>
      </w:tblPr>
      <w:tblGrid>
        <w:gridCol w:w="2551"/>
        <w:gridCol w:w="2041"/>
        <w:gridCol w:w="5272"/>
      </w:tblGrid>
      <w:tr>
        <w:trPr>
          <w:cantSplit/>
          <w:tblHeader/>
        </w:trPr>
        <w:tc>
          <w:tcPr>
            <w:tcW w:type="dxa" w:w="255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Élément</w:t>
            </w:r>
          </w:p>
        </w:tc>
        <w:tc>
          <w:tcPr>
            <w:tcW w:type="dxa" w:w="204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Dans l’exemple</w:t>
            </w:r>
          </w:p>
        </w:tc>
        <w:tc>
          <w:tcPr>
            <w:tcW w:type="dxa" w:w="527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Rôle</w:t>
            </w:r>
          </w:p>
        </w:tc>
      </w:tr>
      <w:tr>
        <w:trPr>
          <w:cantSplit/>
        </w:trPr>
        <w:tc>
          <w:tcPr>
            <w:tcW w:type="dxa" w:w="255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Verbe introducteur</w:t>
            </w:r>
          </w:p>
        </w:tc>
        <w:tc>
          <w:tcPr>
            <w:tcW w:type="dxa" w:w="204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dicit</w:t>
            </w:r>
          </w:p>
        </w:tc>
        <w:tc>
          <w:tcPr>
            <w:tcW w:type="dxa" w:w="527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Attribue la déclaration à Julia.</w:t>
            </w:r>
          </w:p>
        </w:tc>
      </w:tr>
      <w:tr>
        <w:trPr>
          <w:cantSplit/>
        </w:trPr>
        <w:tc>
          <w:tcPr>
            <w:tcW w:type="dxa" w:w="255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Sujet de l’infinitif</w:t>
            </w:r>
          </w:p>
        </w:tc>
        <w:tc>
          <w:tcPr>
            <w:tcW w:type="dxa" w:w="204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se</w:t>
            </w:r>
          </w:p>
        </w:tc>
        <w:tc>
          <w:tcPr>
            <w:tcW w:type="dxa" w:w="527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Accusatif du pronom réfléchi, renvoyant à Julia.</w:t>
            </w:r>
          </w:p>
        </w:tc>
      </w:tr>
      <w:tr>
        <w:trPr>
          <w:cantSplit/>
        </w:trPr>
        <w:tc>
          <w:tcPr>
            <w:tcW w:type="dxa" w:w="255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Verbe de la proposition</w:t>
            </w:r>
          </w:p>
        </w:tc>
        <w:tc>
          <w:tcPr>
            <w:tcW w:type="dxa" w:w="204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legere</w:t>
            </w:r>
          </w:p>
        </w:tc>
        <w:tc>
          <w:tcPr>
            <w:tcW w:type="dxa" w:w="527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Infinitif présent de lego.</w:t>
            </w:r>
          </w:p>
        </w:tc>
      </w:tr>
      <w:tr>
        <w:trPr>
          <w:cantSplit/>
        </w:trPr>
        <w:tc>
          <w:tcPr>
            <w:tcW w:type="dxa" w:w="255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Objet de legere</w:t>
            </w:r>
          </w:p>
        </w:tc>
        <w:tc>
          <w:tcPr>
            <w:tcW w:type="dxa" w:w="2041"/>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librum</w:t>
            </w:r>
          </w:p>
        </w:tc>
        <w:tc>
          <w:tcPr>
            <w:tcW w:type="dxa" w:w="527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Accusatif COD ; tout accusatif n’est donc pas un sujet.</w:t>
            </w:r>
          </w:p>
        </w:tc>
      </w:tr>
    </w:tbl>
    <w:p>
      <w:pPr>
        <w:spacing w:line="60" w:lineRule="exact" w:after="100"/>
      </w:pPr>
    </w:p>
    <w:p>
      <w:pPr>
        <w:pStyle w:val="Heading2"/>
        <w:pageBreakBefore w:val="0"/>
      </w:pPr>
      <w:r>
        <w:t>Retrouver un sujet que le contexte donne déjà</w:t>
      </w:r>
    </w:p>
    <w:p>
      <w:r>
        <w:t xml:space="preserve">Dans les textes littéraires, un sujet peut être sous-entendu lorsqu’il est clairement donné par le contexte, et </w:t>
      </w:r>
      <w:r>
        <w:rPr>
          <w:i/>
        </w:rPr>
        <w:t>esse</w:t>
      </w:r>
      <w:r>
        <w:t xml:space="preserve"> peut être omis dans un infinitif composé. Avant d’ajouter un mot à votre traduction, expliquez ce que la phrase permet de restituer : dans l’extrait de Quinte-Curce, « veneno necatum esse » concerne Alexandre, même si son nom n’est pas répété.</w:t>
      </w:r>
    </w:p>
    <w:p>
      <w:pPr>
        <w:pStyle w:val="Heading1"/>
        <w:pageBreakBefore/>
      </w:pPr>
      <w:r>
        <w:t>3 Situer les temps et rapporter une question</w:t>
      </w:r>
    </w:p>
    <w:p>
      <w:r>
        <w:t xml:space="preserve">Le temps de l’infinitif se comprend </w:t>
      </w:r>
      <w:r>
        <w:rPr>
          <w:b/>
        </w:rPr>
        <w:t>par rapport au verbe introducteur</w:t>
      </w:r>
      <w:r>
        <w:t>. Un infinitif présent exprime ordinairement la simultanéité, un infinitif parfait l’antériorité et un infinitif futur la postériorité ; si le verbe introducteur passe au passé, le rapport entre les deux actions demeure, alors que la traduction française adapte ses temps.</w:t>
      </w:r>
    </w:p>
    <w:tbl>
      <w:tblPr>
        <w:tblW w:type="auto" w:w="0"/>
        <w:jc w:val="center"/>
        <w:tblLayout w:type="fixed"/>
        <w:tblLook w:firstColumn="1" w:firstRow="1" w:lastColumn="0" w:lastRow="0" w:noHBand="0" w:noVBand="1" w:val="04A0"/>
      </w:tblPr>
      <w:tblGrid>
        <w:gridCol w:w="4139"/>
        <w:gridCol w:w="1814"/>
        <w:gridCol w:w="3912"/>
      </w:tblGrid>
      <w:tr>
        <w:trPr>
          <w:cantSplit/>
          <w:tblHeader/>
        </w:trPr>
        <w:tc>
          <w:tcPr>
            <w:tcW w:type="dxa" w:w="413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Exemple composé</w:t>
            </w:r>
          </w:p>
        </w:tc>
        <w:tc>
          <w:tcPr>
            <w:tcW w:type="dxa" w:w="1814"/>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Rapport de temps</w:t>
            </w:r>
          </w:p>
        </w:tc>
        <w:tc>
          <w:tcPr>
            <w:tcW w:type="dxa" w:w="391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33445B"/>
          </w:tcPr>
          <w:p>
            <w:pPr>
              <w:spacing w:after="40" w:line="252" w:lineRule="auto"/>
            </w:pPr>
            <w:r>
              <w:rPr>
                <w:b/>
                <w:color w:val="FFFFFF"/>
                <w:sz w:val="22"/>
              </w:rPr>
              <w:t>Traduction possible</w:t>
            </w:r>
          </w:p>
        </w:tc>
      </w:tr>
      <w:tr>
        <w:trPr>
          <w:cantSplit/>
        </w:trPr>
        <w:tc>
          <w:tcPr>
            <w:tcW w:type="dxa" w:w="413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Iulia dicit se librum legere.</w:t>
            </w:r>
          </w:p>
        </w:tc>
        <w:tc>
          <w:tcPr>
            <w:tcW w:type="dxa" w:w="1814"/>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Simultanéité</w:t>
            </w:r>
          </w:p>
        </w:tc>
        <w:tc>
          <w:tcPr>
            <w:tcW w:type="dxa" w:w="391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Julia dit qu’elle lit un livre.</w:t>
            </w:r>
          </w:p>
        </w:tc>
      </w:tr>
      <w:tr>
        <w:trPr>
          <w:cantSplit/>
        </w:trPr>
        <w:tc>
          <w:tcPr>
            <w:tcW w:type="dxa" w:w="413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Iulia dixit se librum legisse.</w:t>
            </w:r>
          </w:p>
        </w:tc>
        <w:tc>
          <w:tcPr>
            <w:tcW w:type="dxa" w:w="1814"/>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Antériorité</w:t>
            </w:r>
          </w:p>
        </w:tc>
        <w:tc>
          <w:tcPr>
            <w:tcW w:type="dxa" w:w="391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3F5F7"/>
          </w:tcPr>
          <w:p>
            <w:pPr>
              <w:spacing w:after="40" w:line="252" w:lineRule="auto"/>
            </w:pPr>
            <w:r>
              <w:rPr>
                <w:sz w:val="22"/>
              </w:rPr>
              <w:t>Julia a dit qu’elle avait lu un livre.</w:t>
            </w:r>
          </w:p>
        </w:tc>
      </w:tr>
      <w:tr>
        <w:trPr>
          <w:cantSplit/>
        </w:trPr>
        <w:tc>
          <w:tcPr>
            <w:tcW w:type="dxa" w:w="4139"/>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Iulia dixit se librum lecturam esse.</w:t>
            </w:r>
          </w:p>
        </w:tc>
        <w:tc>
          <w:tcPr>
            <w:tcW w:type="dxa" w:w="1814"/>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Postériorité</w:t>
            </w:r>
          </w:p>
        </w:tc>
        <w:tc>
          <w:tcPr>
            <w:tcW w:type="dxa" w:w="3912"/>
            <w:vAlign w:val="center"/>
            <w:tcBorders>
              <w:top w:val="single" w:sz="4" w:color="D9D9D9"/>
              <w:bottom w:val="single" w:sz="4" w:color="D9D9D9"/>
              <w:left w:val="single" w:sz="4" w:color="D9D9D9"/>
              <w:right w:val="single" w:sz="4" w:color="D9D9D9"/>
            </w:tcBorders>
            <w:tcMar>
              <w:top w:w="100" w:type="dxa"/>
              <w:bottom w:w="100" w:type="dxa"/>
              <w:left w:w="100" w:type="dxa"/>
              <w:right w:w="100" w:type="dxa"/>
            </w:tcMar>
            <w:shd w:fill="FFFFFF"/>
          </w:tcPr>
          <w:p>
            <w:pPr>
              <w:spacing w:after="40" w:line="252" w:lineRule="auto"/>
            </w:pPr>
            <w:r>
              <w:rPr>
                <w:sz w:val="22"/>
              </w:rPr>
              <w:t>Julia a dit qu’elle lirait un livre.</w:t>
            </w:r>
          </w:p>
        </w:tc>
      </w:tr>
    </w:tbl>
    <w:p>
      <w:pPr>
        <w:spacing w:line="60" w:lineRule="exact" w:after="100"/>
      </w:pPr>
    </w:p>
    <w:p>
      <w:r>
        <w:t xml:space="preserve">Dans </w:t>
      </w:r>
      <w:r>
        <w:rPr>
          <w:i/>
        </w:rPr>
        <w:t>lecturam esse</w:t>
      </w:r>
      <w:r>
        <w:t xml:space="preserve">, le participe futur s’accorde avec </w:t>
      </w:r>
      <w:r>
        <w:rPr>
          <w:i/>
        </w:rPr>
        <w:t>se</w:t>
      </w:r>
      <w:r>
        <w:t xml:space="preserve">, qui désigne Julia : il est ici au féminin singulier accusatif. Le conditionnel « lirait » traduit un </w:t>
      </w:r>
      <w:r>
        <w:rPr>
          <w:b/>
        </w:rPr>
        <w:t>futur dans le passé</w:t>
      </w:r>
      <w:r>
        <w:t xml:space="preserve"> ; il n’ajoute pas un doute sur la lecture.</w:t>
      </w:r>
    </w:p>
    <w:p>
      <w:pPr>
        <w:pStyle w:val="Heading2"/>
        <w:pageBreakBefore w:val="0"/>
      </w:pPr>
      <w:r>
        <w:t>Reconnaître une interrogation indirecte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Quid Iulia legit ?</w:t>
            </w:r>
          </w:p>
          <w:p>
            <w:pPr>
              <w:spacing w:after="120" w:line="264" w:lineRule="auto"/>
            </w:pPr>
            <w:r>
              <w:rPr>
                <w:rFonts w:ascii="Arial" w:hAnsi="Arial"/>
                <w:sz w:val="24"/>
                <w:lang w:val="la-Latn"/>
              </w:rPr>
              <w:t>Quaero quid Iulia legat.</w:t>
            </w:r>
          </w:p>
          <w:p>
            <w:pPr>
              <w:spacing w:after="0" w:line="264" w:lineRule="auto"/>
            </w:pPr>
            <w:r>
              <w:rPr>
                <w:rFonts w:ascii="Arial" w:hAnsi="Arial"/>
                <w:sz w:val="24"/>
                <w:lang w:val="la-Latn"/>
              </w:rPr>
              <w:t>Quaesivi quid Iulia legeret.</w:t>
            </w:r>
          </w:p>
        </w:tc>
      </w:tr>
    </w:tbl>
    <w:p>
      <w:pPr>
        <w:spacing w:line="60" w:lineRule="exact" w:after="100"/>
      </w:pPr>
    </w:p>
    <w:p>
      <w:r>
        <w:t xml:space="preserve">La première phrase pose directement une question. Dans les deux autres, « ce que Julia lit » ou « ce que Julia lisait » dépend du verbe qui introduit la recherche d’une réponse : </w:t>
      </w:r>
      <w:r>
        <w:rPr>
          <w:i/>
        </w:rPr>
        <w:t>quid</w:t>
      </w:r>
      <w:r>
        <w:t xml:space="preserve"> est un mot interrogatif, et </w:t>
      </w:r>
      <w:r>
        <w:rPr>
          <w:i/>
        </w:rPr>
        <w:t>legat</w:t>
      </w:r>
      <w:r>
        <w:t xml:space="preserve"> ou </w:t>
      </w:r>
      <w:r>
        <w:rPr>
          <w:i/>
        </w:rPr>
        <w:t>legeret</w:t>
      </w:r>
      <w:r>
        <w:t xml:space="preserve"> est au subjonctif. Dans la construction classique usuelle, ce subjonctif marque la subordination de la question ; nous ne le traduirons pas automatiquement par un conditionnel de réserve.</w:t>
      </w:r>
    </w:p>
    <w:p>
      <w:r>
        <w:t xml:space="preserve">La traduction doit conserver ce que le latin donne à entendre, sans calquer mécaniquement ses formes sur celles du français. Lorsque </w:t>
      </w:r>
      <w:r>
        <w:rPr>
          <w:i/>
        </w:rPr>
        <w:t>rumor</w:t>
      </w:r>
      <w:r>
        <w:t xml:space="preserve"> ou </w:t>
      </w:r>
      <w:r>
        <w:rPr>
          <w:i/>
        </w:rPr>
        <w:t>incertum</w:t>
      </w:r>
      <w:r>
        <w:t xml:space="preserve"> apparaît, nous examinerons ces mots pour comprendre la réserve, au lieu de demander au seul mode verbal de nous dire si l’événement est vrai.</w:t>
      </w:r>
    </w:p>
    <w:p>
      <w:pPr>
        <w:pStyle w:val="Heading1"/>
        <w:pageBreakBefore/>
      </w:pPr>
      <w:r>
        <w:t>Exercice 1 Entendre la source avant de décider</w:t>
      </w:r>
    </w:p>
    <w:p>
      <w:pPr>
        <w:spacing w:after="100"/>
      </w:pPr>
      <w:r>
        <w:rPr>
          <w:sz w:val="21"/>
        </w:rPr>
        <w:t>Support fabriqué pour l’exercice — aucune citation antique.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A. Magister dicit librum utilem esse.</w:t>
            </w:r>
          </w:p>
          <w:p>
            <w:pPr>
              <w:spacing w:after="120" w:line="264" w:lineRule="auto"/>
            </w:pPr>
            <w:r>
              <w:rPr>
                <w:rFonts w:ascii="Arial" w:hAnsi="Arial"/>
                <w:sz w:val="24"/>
                <w:lang w:val="la-Latn"/>
              </w:rPr>
              <w:t>B. Quidam dicunt librum utilem esse.</w:t>
            </w:r>
          </w:p>
          <w:p>
            <w:pPr>
              <w:spacing w:after="120" w:line="264" w:lineRule="auto"/>
            </w:pPr>
            <w:r>
              <w:rPr>
                <w:rFonts w:ascii="Arial" w:hAnsi="Arial"/>
                <w:sz w:val="24"/>
                <w:lang w:val="la-Latn"/>
              </w:rPr>
              <w:t>C. Fama est librum utilem esse.</w:t>
            </w:r>
          </w:p>
          <w:p>
            <w:pPr>
              <w:spacing w:after="0" w:line="264" w:lineRule="auto"/>
            </w:pPr>
            <w:r>
              <w:rPr>
                <w:rFonts w:ascii="Arial" w:hAnsi="Arial"/>
                <w:sz w:val="24"/>
                <w:lang w:val="la-Latn"/>
              </w:rPr>
              <w:t>D. Quidam librum legunt.</w:t>
            </w:r>
          </w:p>
        </w:tc>
      </w:tr>
    </w:tbl>
    <w:p>
      <w:pPr>
        <w:spacing w:line="60" w:lineRule="exact" w:after="100"/>
      </w:pPr>
    </w:p>
    <w:p>
      <w:pPr>
        <w:spacing w:after="100"/>
      </w:pPr>
      <w:r>
        <w:rPr>
          <w:sz w:val="21"/>
        </w:rPr>
        <w:t>magister : le professeur ; dicit / dicunt : dit / disent ; quidam : certains ; fama est : le bruit court ; librum : le livre, accusatif ; utilem esse : être utile ; legunt : lisent.</w:t>
      </w:r>
    </w:p>
    <w:p>
      <w:pPr>
        <w:keepNext/>
        <w:spacing w:after="80"/>
      </w:pPr>
      <w:r>
        <w:t>1a. Pour A, B et C, indiquez comment nous parvient le jugement sur le livre : une voix nommée par sa fonction, des personnes non nommées ou un bruit qui circule. Appuyez chaque réponse sur le latin.</w:t>
      </w:r>
    </w:p>
    <w:p>
      <w:pPr>
        <w:spacing w:after="180" w:line="240" w:lineRule="auto"/>
        <w:ind w:left="0" w:right="0" w:firstLine="0"/>
        <w:jc w:val="left"/>
      </w:pPr>
      <w:r>
        <w:drawing>
          <wp:inline xmlns:a="http://schemas.openxmlformats.org/drawingml/2006/main" xmlns:pic="http://schemas.openxmlformats.org/drawingml/2006/picture">
            <wp:extent cx="6263999" cy="1152000"/>
            <wp:docPr id="22" name="Picture 22" descr="4 lignes Seyès pour ex_1a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keepNext/>
        <w:spacing w:after="80"/>
      </w:pPr>
      <w:r>
        <w:t>1b. Dans D, quidam désigne-t-il la source d’une déclaration ? Expliquez pourquoi il ne joue pas le même rôle que dans B.</w:t>
      </w:r>
    </w:p>
    <w:p>
      <w:pPr>
        <w:spacing w:after="180" w:line="240" w:lineRule="auto"/>
        <w:ind w:left="0" w:right="0" w:firstLine="0"/>
        <w:jc w:val="left"/>
      </w:pPr>
      <w:r>
        <w:drawing>
          <wp:inline xmlns:a="http://schemas.openxmlformats.org/drawingml/2006/main" xmlns:pic="http://schemas.openxmlformats.org/drawingml/2006/picture">
            <wp:extent cx="6263999" cy="864000"/>
            <wp:docPr id="23" name="Picture 23" descr="3 lignes Seyès pour ex_1b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263999" cy="864000"/>
                    </a:xfrm>
                    <a:prstGeom prst="rect"/>
                  </pic:spPr>
                </pic:pic>
              </a:graphicData>
            </a:graphic>
          </wp:inline>
        </w:drawing>
      </w:r>
    </w:p>
    <w:p>
      <w:pPr>
        <w:keepNext/>
        <w:spacing w:after="80"/>
      </w:pPr>
      <w:r>
        <w:t>1c. La présence de dicit dans A ou de fama dans C suffit-elle à prouver que le livre est utile, ou qu’il ne l’est pas ? Rédigez une réponse qui distingue l’information rapportée et sa vérification.</w:t>
      </w:r>
    </w:p>
    <w:p>
      <w:pPr>
        <w:spacing w:after="180" w:line="240" w:lineRule="auto"/>
        <w:ind w:left="0" w:right="0" w:firstLine="0"/>
        <w:jc w:val="left"/>
      </w:pPr>
      <w:r>
        <w:drawing>
          <wp:inline xmlns:a="http://schemas.openxmlformats.org/drawingml/2006/main" xmlns:pic="http://schemas.openxmlformats.org/drawingml/2006/picture">
            <wp:extent cx="6263999" cy="1152000"/>
            <wp:docPr id="24" name="Picture 24" descr="4 lignes Seyès pour ex_1c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pStyle w:val="Heading1"/>
        <w:pageBreakBefore/>
      </w:pPr>
      <w:r>
        <w:t>Exercice 2 Suivre le temps depuis la parole rapportée</w:t>
      </w:r>
    </w:p>
    <w:p>
      <w:pPr>
        <w:spacing w:after="100"/>
      </w:pPr>
      <w:r>
        <w:rPr>
          <w:sz w:val="21"/>
        </w:rPr>
        <w:t>Support fabriqué pour l’exercice — aucune citation antique.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A. Livia dicit puerum venire.</w:t>
            </w:r>
          </w:p>
          <w:p>
            <w:pPr>
              <w:spacing w:after="120" w:line="264" w:lineRule="auto"/>
            </w:pPr>
            <w:r>
              <w:rPr>
                <w:rFonts w:ascii="Arial" w:hAnsi="Arial"/>
                <w:sz w:val="24"/>
                <w:lang w:val="la-Latn"/>
              </w:rPr>
              <w:t>B. Livia dixit puerum venire.</w:t>
            </w:r>
          </w:p>
          <w:p>
            <w:pPr>
              <w:spacing w:after="120" w:line="264" w:lineRule="auto"/>
            </w:pPr>
            <w:r>
              <w:rPr>
                <w:rFonts w:ascii="Arial" w:hAnsi="Arial"/>
                <w:sz w:val="24"/>
                <w:lang w:val="la-Latn"/>
              </w:rPr>
              <w:t>C. Livia dixit puerum venisse.</w:t>
            </w:r>
          </w:p>
          <w:p>
            <w:pPr>
              <w:spacing w:after="0" w:line="264" w:lineRule="auto"/>
            </w:pPr>
            <w:r>
              <w:rPr>
                <w:rFonts w:ascii="Arial" w:hAnsi="Arial"/>
                <w:sz w:val="24"/>
                <w:lang w:val="la-Latn"/>
              </w:rPr>
              <w:t>D. Livia dixit puerum venturum esse.</w:t>
            </w:r>
          </w:p>
        </w:tc>
      </w:tr>
    </w:tbl>
    <w:p>
      <w:pPr>
        <w:spacing w:line="60" w:lineRule="exact" w:after="100"/>
      </w:pPr>
    </w:p>
    <w:p>
      <w:pPr>
        <w:spacing w:after="100"/>
      </w:pPr>
      <w:r>
        <w:rPr>
          <w:sz w:val="21"/>
        </w:rPr>
        <w:t>Livia : personnage fictif ; puerum : le garçon, accusatif ; dicit : dit ; dixit : a dit ; venire : infinitif présent ; venisse : infinitif parfait ; venturum esse : infinitif futur actif.</w:t>
      </w:r>
    </w:p>
    <w:p>
      <w:pPr>
        <w:keepNext/>
        <w:spacing w:after="80"/>
      </w:pPr>
      <w:r>
        <w:t>2a. Dans chaque phrase, relevez le verbe introducteur, le sujet de l’infinitif et la forme infinitive. Précisez le cas du sujet, même si cette forme revient plusieurs fois.</w:t>
      </w:r>
    </w:p>
    <w:p>
      <w:pPr>
        <w:spacing w:after="180" w:line="240" w:lineRule="auto"/>
        <w:ind w:left="0" w:right="0" w:firstLine="0"/>
        <w:jc w:val="left"/>
      </w:pPr>
      <w:r>
        <w:drawing>
          <wp:inline xmlns:a="http://schemas.openxmlformats.org/drawingml/2006/main" xmlns:pic="http://schemas.openxmlformats.org/drawingml/2006/picture">
            <wp:extent cx="6263999" cy="1440000"/>
            <wp:docPr id="25" name="Picture 25" descr="5 lignes Seyès pour ex_2a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keepNext/>
        <w:spacing w:after="80"/>
      </w:pPr>
      <w:r>
        <w:t>2b. Pour A, B, C et D, situez la venue du garçon par rapport à la déclaration de Livia : au même moment, auparavant ou ensuite. Traduisez chaque phrase en conservant cette relation.</w:t>
      </w:r>
    </w:p>
    <w:p>
      <w:pPr>
        <w:spacing w:after="180" w:line="240" w:lineRule="auto"/>
        <w:ind w:left="0" w:right="0" w:firstLine="0"/>
        <w:jc w:val="left"/>
      </w:pPr>
      <w:r>
        <w:drawing>
          <wp:inline xmlns:a="http://schemas.openxmlformats.org/drawingml/2006/main" xmlns:pic="http://schemas.openxmlformats.org/drawingml/2006/picture">
            <wp:extent cx="6263999" cy="1728000"/>
            <wp:docPr id="26" name="Picture 26" descr="6 lignes Seyès pour ex_2b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keepNext/>
        <w:spacing w:after="80"/>
      </w:pPr>
      <w:r>
        <w:t>2c. Dans votre traduction de D, le conditionnel français exprime-t-il une réserve sur l’information ? Justifiez votre réponse à partir de venturum esse et de dixit.</w:t>
      </w:r>
    </w:p>
    <w:p>
      <w:pPr>
        <w:spacing w:after="180" w:line="240" w:lineRule="auto"/>
        <w:ind w:left="0" w:right="0" w:firstLine="0"/>
        <w:jc w:val="left"/>
      </w:pPr>
      <w:r>
        <w:drawing>
          <wp:inline xmlns:a="http://schemas.openxmlformats.org/drawingml/2006/main" xmlns:pic="http://schemas.openxmlformats.org/drawingml/2006/picture">
            <wp:extent cx="6263999" cy="864000"/>
            <wp:docPr id="27" name="Picture 27" descr="3 lignes Seyès pour ex_2c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263999" cy="864000"/>
                    </a:xfrm>
                    <a:prstGeom prst="rect"/>
                  </pic:spPr>
                </pic:pic>
              </a:graphicData>
            </a:graphic>
          </wp:inline>
        </w:drawing>
      </w:r>
    </w:p>
    <w:p>
      <w:pPr>
        <w:pStyle w:val="Heading1"/>
        <w:pageBreakBefore/>
      </w:pPr>
      <w:r>
        <w:t>Exercice 3 Transformer une déclaration sans perdre celui qui parle</w:t>
      </w:r>
    </w:p>
    <w:p>
      <w:pPr>
        <w:spacing w:after="100"/>
      </w:pPr>
      <w:r>
        <w:rPr>
          <w:sz w:val="21"/>
        </w:rPr>
        <w:t>Supports fabriqués pour l’exercice — ces dialogues ne sont pas des paroles antiques.</w:t>
      </w:r>
    </w:p>
    <w:p>
      <w:pPr>
        <w:spacing w:after="100"/>
      </w:pPr>
      <w:r>
        <w:rPr>
          <w:sz w:val="21"/>
        </w:rPr>
        <w:t>legere : lire ; legisse : avoir lu ; ridere : rire ; venturam esse : infinitif futur actif, venir après le moment de la déclaration, au féminin accusatif singulier. Lucius et Livia sont des personnages fictifs.</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Lucius dicit : « Lego. »</w:t>
            </w:r>
          </w:p>
        </w:tc>
      </w:tr>
    </w:tbl>
    <w:p>
      <w:pPr>
        <w:spacing w:line="60" w:lineRule="exact" w:after="100"/>
      </w:pPr>
    </w:p>
    <w:p>
      <w:pPr>
        <w:keepNext/>
        <w:spacing w:after="80"/>
      </w:pPr>
      <w:r>
        <w:t>3a. Rapportez cette déclaration au discours indirect en conservant Lucius dicit. Lucius parle de lui-même : faites apparaître le sujet de l’infinitif.</w:t>
      </w:r>
    </w:p>
    <w:p>
      <w:pPr>
        <w:spacing w:after="180" w:line="240" w:lineRule="auto"/>
        <w:ind w:left="0" w:right="0" w:firstLine="0"/>
        <w:jc w:val="left"/>
      </w:pPr>
      <w:r>
        <w:drawing>
          <wp:inline xmlns:a="http://schemas.openxmlformats.org/drawingml/2006/main" xmlns:pic="http://schemas.openxmlformats.org/drawingml/2006/picture">
            <wp:extent cx="6263999" cy="576000"/>
            <wp:docPr id="28" name="Picture 28" descr="2 lignes Seyès pour ex_3a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263999" cy="576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Lucius dixit : « Librum legi. »</w:t>
            </w:r>
          </w:p>
        </w:tc>
      </w:tr>
    </w:tbl>
    <w:p>
      <w:pPr>
        <w:spacing w:line="60" w:lineRule="exact" w:after="100"/>
      </w:pPr>
    </w:p>
    <w:p>
      <w:pPr>
        <w:keepNext/>
        <w:spacing w:after="80"/>
      </w:pPr>
      <w:r>
        <w:t>3b. Rapportez la déclaration en conservant Lucius dixit. Legi est ici un parfait de l’indicatif, première personne : « j’ai lu ».</w:t>
      </w:r>
    </w:p>
    <w:p>
      <w:pPr>
        <w:spacing w:after="180" w:line="240" w:lineRule="auto"/>
        <w:ind w:left="0" w:right="0" w:firstLine="0"/>
        <w:jc w:val="left"/>
      </w:pPr>
      <w:r>
        <w:drawing>
          <wp:inline xmlns:a="http://schemas.openxmlformats.org/drawingml/2006/main" xmlns:pic="http://schemas.openxmlformats.org/drawingml/2006/picture">
            <wp:extent cx="6263999" cy="576000"/>
            <wp:docPr id="29" name="Picture 29" descr="2 lignes Seyès pour ex_3b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263999" cy="576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Lucius dicit : « Puella ridet. »</w:t>
            </w:r>
          </w:p>
        </w:tc>
      </w:tr>
    </w:tbl>
    <w:p>
      <w:pPr>
        <w:spacing w:line="60" w:lineRule="exact" w:after="100"/>
      </w:pPr>
    </w:p>
    <w:p>
      <w:pPr>
        <w:keepNext/>
        <w:spacing w:after="80"/>
      </w:pPr>
      <w:r>
        <w:t>3c. Rapportez la déclaration en conservant Lucius dicit. Expliquez ensuite pourquoi le sujet de l’infinitif ne doit pas être se.</w:t>
      </w:r>
    </w:p>
    <w:p>
      <w:pPr>
        <w:spacing w:after="180" w:line="240" w:lineRule="auto"/>
        <w:ind w:left="0" w:right="0" w:firstLine="0"/>
        <w:jc w:val="left"/>
      </w:pPr>
      <w:r>
        <w:drawing>
          <wp:inline xmlns:a="http://schemas.openxmlformats.org/drawingml/2006/main" xmlns:pic="http://schemas.openxmlformats.org/drawingml/2006/picture">
            <wp:extent cx="6263999" cy="864000"/>
            <wp:docPr id="30" name="Picture 30" descr="3 lignes Seyès pour ex_3c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263999" cy="864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Livia dixit : « Veniam. »</w:t>
            </w:r>
          </w:p>
        </w:tc>
      </w:tr>
    </w:tbl>
    <w:p>
      <w:pPr>
        <w:spacing w:line="60" w:lineRule="exact" w:after="100"/>
      </w:pPr>
    </w:p>
    <w:p>
      <w:pPr>
        <w:keepNext/>
        <w:spacing w:after="80"/>
      </w:pPr>
      <w:r>
        <w:t>3d. Rapportez la déclaration en conservant Livia dixit. Veniam est ici le futur de l’indicatif, première personne : « je viendrai ». Justifiez l’accord de votre participe.</w:t>
      </w:r>
    </w:p>
    <w:p>
      <w:pPr>
        <w:spacing w:after="180" w:line="240" w:lineRule="auto"/>
        <w:ind w:left="0" w:right="0" w:firstLine="0"/>
        <w:jc w:val="left"/>
      </w:pPr>
      <w:r>
        <w:drawing>
          <wp:inline xmlns:a="http://schemas.openxmlformats.org/drawingml/2006/main" xmlns:pic="http://schemas.openxmlformats.org/drawingml/2006/picture">
            <wp:extent cx="6263999" cy="864000"/>
            <wp:docPr id="31" name="Picture 31" descr="3 lignes Seyès pour ex_3d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263999" cy="864000"/>
                    </a:xfrm>
                    <a:prstGeom prst="rect"/>
                  </pic:spPr>
                </pic:pic>
              </a:graphicData>
            </a:graphic>
          </wp:inline>
        </w:drawing>
      </w:r>
    </w:p>
    <w:p>
      <w:pPr>
        <w:pStyle w:val="Heading1"/>
        <w:pageBreakBefore/>
      </w:pPr>
      <w:r>
        <w:t>Exercice 4 Faire entrer une question dans une autre phrase</w:t>
      </w:r>
    </w:p>
    <w:p>
      <w:pPr>
        <w:spacing w:after="100"/>
      </w:pPr>
      <w:r>
        <w:rPr>
          <w:sz w:val="21"/>
        </w:rPr>
        <w:t>Supports fabriqués pour l’exercice — aucune citation antique.</w:t>
      </w:r>
    </w:p>
    <w:p>
      <w:pPr>
        <w:spacing w:after="100"/>
      </w:pPr>
      <w:r>
        <w:rPr>
          <w:sz w:val="21"/>
        </w:rPr>
        <w:t>sit : subjonctif présent de sum ; esset : subjonctif imparfait de sum ; maneat : subjonctif présent de maneo ; veniat : subjonctif présent de venio ; scit : sait ; domi : chez lui ; utrum… an… : si… ou si….</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Ubi liber est ?</w:t>
            </w:r>
          </w:p>
        </w:tc>
      </w:tr>
    </w:tbl>
    <w:p>
      <w:pPr>
        <w:spacing w:line="60" w:lineRule="exact" w:after="100"/>
      </w:pPr>
    </w:p>
    <w:p>
      <w:pPr>
        <w:keepNext/>
        <w:spacing w:after="80"/>
      </w:pPr>
      <w:r>
        <w:t>4a. Rapportez cette question après Livia quaerit, puis après Livia quaesivit. Dans les deux cas, la situation du livre est simultanée à la demande. Traduisez vos deux phrases.</w:t>
      </w:r>
    </w:p>
    <w:p>
      <w:pPr>
        <w:spacing w:after="180" w:line="240" w:lineRule="auto"/>
        <w:ind w:left="0" w:right="0" w:firstLine="0"/>
        <w:jc w:val="left"/>
      </w:pPr>
      <w:r>
        <w:drawing>
          <wp:inline xmlns:a="http://schemas.openxmlformats.org/drawingml/2006/main" xmlns:pic="http://schemas.openxmlformats.org/drawingml/2006/picture">
            <wp:extent cx="6263999" cy="1152000"/>
            <wp:docPr id="32" name="Picture 32" descr="4 lignes Seyès pour ex_4a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Marcus scit ubi liber sit.</w:t>
            </w:r>
          </w:p>
        </w:tc>
      </w:tr>
    </w:tbl>
    <w:p>
      <w:pPr>
        <w:spacing w:line="60" w:lineRule="exact" w:after="100"/>
      </w:pPr>
    </w:p>
    <w:p>
      <w:pPr>
        <w:keepNext/>
        <w:spacing w:after="80"/>
      </w:pPr>
      <w:r>
        <w:t>4b. Identifiez la subordonnée, le mode et le temps de sit. Expliquez pourquoi ce subjonctif ne signifie pas ici que Marcus ignore la réponse.</w:t>
      </w:r>
    </w:p>
    <w:p>
      <w:pPr>
        <w:spacing w:after="180" w:line="240" w:lineRule="auto"/>
        <w:ind w:left="0" w:right="0" w:firstLine="0"/>
        <w:jc w:val="left"/>
      </w:pPr>
      <w:r>
        <w:drawing>
          <wp:inline xmlns:a="http://schemas.openxmlformats.org/drawingml/2006/main" xmlns:pic="http://schemas.openxmlformats.org/drawingml/2006/picture">
            <wp:extent cx="6263999" cy="1152000"/>
            <wp:docPr id="33" name="Picture 33" descr="4 lignes Seyès pour ex_4b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Magister quaerit utrum puer veniat an domi maneat.</w:t>
            </w:r>
          </w:p>
        </w:tc>
      </w:tr>
    </w:tbl>
    <w:p>
      <w:pPr>
        <w:spacing w:line="60" w:lineRule="exact" w:after="100"/>
      </w:pPr>
    </w:p>
    <w:p>
      <w:pPr>
        <w:keepNext/>
        <w:spacing w:after="80"/>
      </w:pPr>
      <w:r>
        <w:t>4c. Traduisez la phrase, puis relevez les deux possibilités proposées et les formes verbales qui permettent de reconnaître l’interrogation indirecte.</w:t>
      </w:r>
    </w:p>
    <w:p>
      <w:pPr>
        <w:spacing w:after="180" w:line="240" w:lineRule="auto"/>
        <w:ind w:left="0" w:right="0" w:firstLine="0"/>
        <w:jc w:val="left"/>
      </w:pPr>
      <w:r>
        <w:drawing>
          <wp:inline xmlns:a="http://schemas.openxmlformats.org/drawingml/2006/main" xmlns:pic="http://schemas.openxmlformats.org/drawingml/2006/picture">
            <wp:extent cx="6263999" cy="1152000"/>
            <wp:docPr id="34" name="Picture 34" descr="4 lignes Seyès pour ex_4c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pStyle w:val="Heading1"/>
        <w:pageBreakBefore/>
      </w:pPr>
      <w:r>
        <w:t>Exercice 5 Revenir aux historiens : ce que la langue permet d’affirmer</w:t>
      </w:r>
    </w:p>
    <w:p>
      <w:r>
        <w:t>Gardez ouverts les cadres L3 et L4. Après les analyses de langue, nous pouvons revenir au sentiment que laissent les deux récits, en prenant soin de ne pas laisser leur force nous faire oublier qui parle et à partir de quelles sources.</w:t>
      </w:r>
    </w:p>
    <w:p>
      <w:pPr>
        <w:spacing w:after="100"/>
      </w:pPr>
      <w:r>
        <w:rPr>
          <w:sz w:val="21"/>
        </w:rPr>
        <w:t>Documents authentiques étudiés : Tacite, Annales XV, 38 et 39 ; Suétone, Vie de Néron 38.</w:t>
      </w:r>
    </w:p>
    <w:p>
      <w:pPr>
        <w:keepNext/>
        <w:spacing w:after="80"/>
      </w:pPr>
      <w:r>
        <w:t>5a. Chez Tacite, dans XV, 38, 1, quel mot indique que la cause de l’incendie n’est pas tranchée ? Quelles possibilités sont mises en regard, et à qui les versions sont-elles attribuées ?</w:t>
      </w:r>
    </w:p>
    <w:p>
      <w:pPr>
        <w:spacing w:after="180" w:line="240" w:lineRule="auto"/>
        <w:ind w:left="0" w:right="0" w:firstLine="0"/>
        <w:jc w:val="left"/>
      </w:pPr>
      <w:r>
        <w:drawing>
          <wp:inline xmlns:a="http://schemas.openxmlformats.org/drawingml/2006/main" xmlns:pic="http://schemas.openxmlformats.org/drawingml/2006/picture">
            <wp:extent cx="6263999" cy="1440000"/>
            <wp:docPr id="35" name="Picture 35" descr="5 lignes Seyès pour ex_5a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keepNext/>
        <w:spacing w:after="80"/>
      </w:pPr>
      <w:r>
        <w:t>5b. Dans XV, 39, 3, repérez le nom qui annonce le statut du propos, puis le sujet accusatif et les deux infinitifs de la déclaration indirecte. Donnez le temps des infinitifs ; expliquez séparément ce qui vous permet de parler de rumeur.</w:t>
      </w:r>
    </w:p>
    <w:p>
      <w:pPr>
        <w:spacing w:after="180" w:line="240" w:lineRule="auto"/>
        <w:ind w:left="0" w:right="0" w:firstLine="0"/>
        <w:jc w:val="left"/>
      </w:pPr>
      <w:r>
        <w:drawing>
          <wp:inline xmlns:a="http://schemas.openxmlformats.org/drawingml/2006/main" xmlns:pic="http://schemas.openxmlformats.org/drawingml/2006/picture">
            <wp:extent cx="6263999" cy="1728000"/>
            <wp:docPr id="36" name="Picture 36" descr="6 lignes Seyès pour ex_5b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263999" cy="1728000"/>
                    </a:xfrm>
                    <a:prstGeom prst="rect"/>
                  </pic:spPr>
                </pic:pic>
              </a:graphicData>
            </a:graphic>
          </wp:inline>
        </w:drawing>
      </w:r>
    </w:p>
    <w:p>
      <w:pPr>
        <w:keepNext/>
        <w:spacing w:after="80"/>
      </w:pPr>
      <w:r>
        <w:t>5c. Dans le passage de Suétone, distinguez l’accusation sur l’incendie et l’appréciation attribuée à Néron. Le fait qu’une parole soit attribuée à un personnage transforme-t-il tout le passage en rumeur ?</w:t>
      </w:r>
    </w:p>
    <w:p>
      <w:pPr>
        <w:spacing w:after="180" w:line="240" w:lineRule="auto"/>
        <w:ind w:left="0" w:right="0" w:firstLine="0"/>
        <w:jc w:val="left"/>
      </w:pPr>
      <w:r>
        <w:drawing>
          <wp:inline xmlns:a="http://schemas.openxmlformats.org/drawingml/2006/main" xmlns:pic="http://schemas.openxmlformats.org/drawingml/2006/picture">
            <wp:extent cx="6263999" cy="1440000"/>
            <wp:docPr id="37" name="Picture 37" descr="5 lignes Seyès pour ex_5c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pStyle w:val="Heading1"/>
        <w:pageBreakBefore/>
      </w:pPr>
      <w:r>
        <w:t>Exercice 5 Rédiger une comparaison fidèle</w:t>
      </w:r>
    </w:p>
    <w:p>
      <w:r>
        <w:t>Relisez vos observations, puis rassemblez-les dans un paragraphe. Un lecteur qui n’a pas le corpus sous les yeux doit pouvoir distinguer l’accusation, la rumeur et les paroles attribuées, tout en comprenant ce que la lecture du latin permet d’établir.</w:t>
      </w:r>
    </w:p>
    <w:p>
      <w:pPr>
        <w:keepNext/>
        <w:spacing w:after="80"/>
      </w:pPr>
      <w:r>
        <w:t>5d. Rédigez quatre ou cinq phrases qui comparent Tacite et Suétone. Nommez les auteurs, conservez le statut des propos, puis expliquez ce que cette analyse linguistique peut établir et ce qu’elle laisse à la recherche historique.</w:t>
      </w:r>
    </w:p>
    <w:p>
      <w:pPr>
        <w:spacing w:after="180" w:line="240" w:lineRule="auto"/>
        <w:ind w:left="0" w:right="0" w:firstLine="0"/>
        <w:jc w:val="left"/>
      </w:pPr>
      <w:r>
        <w:drawing>
          <wp:inline xmlns:a="http://schemas.openxmlformats.org/drawingml/2006/main" xmlns:pic="http://schemas.openxmlformats.org/drawingml/2006/picture">
            <wp:extent cx="6263999" cy="2880000"/>
            <wp:docPr id="38" name="Picture 38" descr="10 lignes Seyès pour ex_5d avec pas principal de 8 mm et interlignes de 2 mm"/>
            <wp:cNvGraphicFramePr>
              <a:graphicFrameLocks noChangeAspect="1"/>
            </wp:cNvGraphicFramePr>
            <a:graphic>
              <a:graphicData uri="http://schemas.openxmlformats.org/drawingml/2006/picture">
                <pic:pic>
                  <pic:nvPicPr>
                    <pic:cNvPr id="0" name="seyes_10_lignes.png"/>
                    <pic:cNvPicPr/>
                  </pic:nvPicPr>
                  <pic:blipFill>
                    <a:blip r:embed="rId36"/>
                    <a:stretch>
                      <a:fillRect/>
                    </a:stretch>
                  </pic:blipFill>
                  <pic:spPr>
                    <a:xfrm>
                      <a:off x="0" y="0"/>
                      <a:ext cx="6263999" cy="2880000"/>
                    </a:xfrm>
                    <a:prstGeom prst="rect"/>
                  </pic:spPr>
                </pic:pic>
              </a:graphicData>
            </a:graphic>
          </wp:inline>
        </w:drawing>
      </w:r>
    </w:p>
    <w:p>
      <w:pPr>
        <w:pStyle w:val="Heading1"/>
        <w:pageBreakBefore/>
      </w:pPr>
      <w:r>
        <w:t>Comparer les sources antiques et deux articles</w:t>
      </w:r>
    </w:p>
    <w:p>
      <w:r>
        <w:t>Ces deux fragments authentiques sont conservés en français, qui est la langue de leur publication. Nous les lirons après les textes latins pour comparer la manière dont les deux langues attribuent une information et expriment une réserve, sans supposer que leurs constructions grammaticales se correspondent mot à mot.</w:t>
      </w:r>
    </w:p>
    <w:p>
      <w:pPr>
        <w:pStyle w:val="Heading2"/>
        <w:pageBreakBefore w:val="0"/>
      </w:pPr>
      <w:r>
        <w:t>M1 Sciences et Avenir</w:t>
      </w:r>
    </w:p>
    <w:p>
      <w:pPr>
        <w:spacing w:after="100"/>
      </w:pPr>
      <w:r>
        <w:rPr>
          <w:sz w:val="21"/>
        </w:rPr>
        <w:t>Bernadette Arnaud • 19 janvier 2020</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rPr>
              <w:t>Titre original : La mystérieuse mort d’Alexandre le Grand</w:t>
            </w:r>
          </w:p>
          <w:p>
            <w:pPr>
              <w:spacing w:after="0" w:line="264" w:lineRule="auto"/>
            </w:pPr>
            <w:r>
              <w:rPr>
                <w:rFonts w:ascii="Arial" w:hAnsi="Arial"/>
                <w:sz w:val="24"/>
              </w:rPr>
              <w:t>« Alexandre semble avoir été pris d’une fièvre qui aurait duré deux semaines […] »</w:t>
            </w:r>
          </w:p>
        </w:tc>
      </w:tr>
    </w:tbl>
    <w:p>
      <w:pPr>
        <w:spacing w:line="60" w:lineRule="exact" w:after="100"/>
      </w:pPr>
    </w:p>
    <w:p>
      <w:pPr>
        <w:keepNext/>
        <w:spacing w:after="80"/>
      </w:pPr>
      <w:r>
        <w:t>1. Expliquez les effets de « semble » et de « aurait duré ». Dans L1, quelle expression latine sépare explicitement ce qui est transmis de ce que le narrateur croit ?</w:t>
      </w:r>
    </w:p>
    <w:p>
      <w:pPr>
        <w:spacing w:after="180" w:line="240" w:lineRule="auto"/>
        <w:ind w:left="0" w:right="0" w:firstLine="0"/>
        <w:jc w:val="left"/>
      </w:pPr>
      <w:r>
        <w:drawing>
          <wp:inline xmlns:a="http://schemas.openxmlformats.org/drawingml/2006/main" xmlns:pic="http://schemas.openxmlformats.org/drawingml/2006/picture">
            <wp:extent cx="6263999" cy="1152000"/>
            <wp:docPr id="39" name="Picture 39" descr="4 lignes Seyès pour media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pStyle w:val="Heading2"/>
        <w:pageBreakBefore w:val="0"/>
      </w:pPr>
      <w:r>
        <w:t>M2 Le Figaro</w:t>
      </w:r>
    </w:p>
    <w:p>
      <w:pPr>
        <w:spacing w:after="100"/>
      </w:pPr>
      <w:r>
        <w:rPr>
          <w:sz w:val="21"/>
        </w:rPr>
        <w:t>Yves Perrin • 30 novembre 2018</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rPr>
              <w:t>Titre original : Néron a-t-il incendié Rome ?</w:t>
            </w:r>
          </w:p>
          <w:p>
            <w:pPr>
              <w:spacing w:after="0" w:line="264" w:lineRule="auto"/>
            </w:pPr>
            <w:r>
              <w:rPr>
                <w:rFonts w:ascii="Arial" w:hAnsi="Arial"/>
                <w:sz w:val="24"/>
              </w:rPr>
              <w:t>« le nombre des victimes est sans doute élevé »</w:t>
            </w:r>
          </w:p>
        </w:tc>
      </w:tr>
    </w:tbl>
    <w:p>
      <w:pPr>
        <w:spacing w:line="60" w:lineRule="exact" w:after="100"/>
      </w:pPr>
    </w:p>
    <w:p>
      <w:pPr>
        <w:keepNext/>
        <w:spacing w:after="80"/>
      </w:pPr>
      <w:r>
        <w:t>2. Dans M2, « sans doute » exprime-t-il ici une certitude absolue ou une probabilité ? Expliquez pourquoi l’interrogation du titre ne suffit pas à connaître la conclusion de tout l’article.</w:t>
      </w:r>
    </w:p>
    <w:p>
      <w:pPr>
        <w:spacing w:after="180" w:line="240" w:lineRule="auto"/>
        <w:ind w:left="0" w:right="0" w:firstLine="0"/>
        <w:jc w:val="left"/>
      </w:pPr>
      <w:r>
        <w:drawing>
          <wp:inline xmlns:a="http://schemas.openxmlformats.org/drawingml/2006/main" xmlns:pic="http://schemas.openxmlformats.org/drawingml/2006/picture">
            <wp:extent cx="6263999" cy="1152000"/>
            <wp:docPr id="40" name="Picture 40" descr="4 lignes Seyès pour media_2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spacing w:after="100"/>
      </w:pPr>
      <w:r>
        <w:rPr>
          <w:sz w:val="21"/>
        </w:rPr>
        <w:t>Il s’agit de courts extraits, dont les références sont données à la fin du livret. L’étude de ces formulations n’épuise pas le contenu des articles ; de même, une rumeur ancienne ne constitue pas, à elle seule, la preuve de l’événement qu’elle rapporte.</w:t>
      </w:r>
    </w:p>
    <w:p>
      <w:pPr>
        <w:pStyle w:val="Heading1"/>
        <w:pageBreakBefore/>
      </w:pPr>
      <w:r>
        <w:t>Rassembler ce que la lecture nous a appris</w:t>
      </w:r>
    </w:p>
    <w:p>
      <w:r>
        <w:t>Avant de quitter ces récits, prenez quelques minutes pour retrouver ce que le latin vous a permis d’entendre. Il ne s’agit pas de donner une réponse spectaculaire aux énigmes d’Alexandre ou de Néron, mais de rendre votre lecture plus attentive, afin de ne pas attribuer à un auteur une certitude qu’il n’a pas formulée.</w:t>
      </w:r>
    </w:p>
    <w:p>
      <w:pPr>
        <w:keepNext/>
        <w:spacing w:after="80"/>
      </w:pPr>
      <w:r>
        <w:t>1. Choisissez dans le corpus un mot ou une expression qui attribue un propos à une autre voix. Citez-le et expliquez à quelle information cette attribution s’applique.</w:t>
      </w:r>
    </w:p>
    <w:p>
      <w:pPr>
        <w:spacing w:after="180" w:line="240" w:lineRule="auto"/>
        <w:ind w:left="0" w:right="0" w:firstLine="0"/>
        <w:jc w:val="left"/>
      </w:pPr>
      <w:r>
        <w:drawing>
          <wp:inline xmlns:a="http://schemas.openxmlformats.org/drawingml/2006/main" xmlns:pic="http://schemas.openxmlformats.org/drawingml/2006/picture">
            <wp:extent cx="6263999" cy="1440000"/>
            <wp:docPr id="41" name="Picture 41" descr="5 lignes Seyès pour synthese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keepNext/>
        <w:spacing w:after="80"/>
      </w:pPr>
      <w:r>
        <w:t>2. Avec un exemple latin du livret, expliquez pourquoi le temps de l’infinitif ou le subjonctif ne permet pas, à lui seul, de décider si l’auteur doute.</w:t>
      </w:r>
    </w:p>
    <w:p>
      <w:pPr>
        <w:spacing w:after="180" w:line="240" w:lineRule="auto"/>
        <w:ind w:left="0" w:right="0" w:firstLine="0"/>
        <w:jc w:val="left"/>
      </w:pPr>
      <w:r>
        <w:drawing>
          <wp:inline xmlns:a="http://schemas.openxmlformats.org/drawingml/2006/main" xmlns:pic="http://schemas.openxmlformats.org/drawingml/2006/picture">
            <wp:extent cx="6263999" cy="1440000"/>
            <wp:docPr id="42" name="Picture 42" descr="5 lignes Seyès pour synthese_2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keepNext/>
        <w:spacing w:after="80"/>
      </w:pPr>
      <w:r>
        <w:t>3. Quelle différence ferez-vous désormais entre comprendre la présentation d’un récit et vérifier historiquement les faits qu’il rapporte ?</w:t>
      </w:r>
    </w:p>
    <w:p>
      <w:pPr>
        <w:spacing w:after="180" w:line="240" w:lineRule="auto"/>
        <w:ind w:left="0" w:right="0" w:firstLine="0"/>
        <w:jc w:val="left"/>
      </w:pPr>
      <w:r>
        <w:drawing>
          <wp:inline xmlns:a="http://schemas.openxmlformats.org/drawingml/2006/main" xmlns:pic="http://schemas.openxmlformats.org/drawingml/2006/picture">
            <wp:extent cx="6263999" cy="1440000"/>
            <wp:docPr id="43" name="Picture 43" descr="5 lignes Seyès pour synthese_3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pStyle w:val="Heading1"/>
        <w:pageBreakBefore/>
      </w:pPr>
      <w:r>
        <w:t>Évaluation A Reconnaître et situer le propos</w:t>
      </w:r>
    </w:p>
    <w:p>
      <w:pPr>
        <w:spacing w:after="100"/>
      </w:pPr>
      <w:r>
        <w:rPr>
          <w:sz w:val="21"/>
        </w:rPr>
        <w:t>55 minutes pour l’ensemble du devoir • Total 20 points • Partie A : 8 points</w:t>
      </w:r>
    </w:p>
    <w:p>
      <w:r>
        <w:t>Nom et prénom : ______________________________________________</w:t>
      </w:r>
    </w:p>
    <w:p>
      <w:pPr>
        <w:spacing w:after="100"/>
      </w:pPr>
      <w:r>
        <w:rPr>
          <w:sz w:val="21"/>
        </w:rPr>
        <w:t>Écrivez directement dans les espaces Seyès. Pour les analyses, citez les mots latins et donnez leur rôle ; pour les traductions, cherchez une phrase française naturelle qui conserve les relations et les voix du latin.</w:t>
      </w:r>
    </w:p>
    <w:p>
      <w:pPr>
        <w:spacing w:after="100"/>
      </w:pPr>
      <w:r>
        <w:rPr>
          <w:sz w:val="21"/>
        </w:rPr>
        <w:t>Support fabriqué pour l’évaluation — aucune citation antique.</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0" w:line="264" w:lineRule="auto"/>
            </w:pPr>
            <w:r>
              <w:rPr>
                <w:rFonts w:ascii="Arial" w:hAnsi="Arial"/>
                <w:sz w:val="24"/>
                <w:lang w:val="la-Latn"/>
              </w:rPr>
              <w:t>1. Livia dixit puerum adesse.</w:t>
            </w:r>
          </w:p>
          <w:p>
            <w:pPr>
              <w:spacing w:after="0" w:line="264" w:lineRule="auto"/>
            </w:pPr>
            <w:r>
              <w:rPr>
                <w:rFonts w:ascii="Arial" w:hAnsi="Arial"/>
                <w:sz w:val="24"/>
                <w:lang w:val="la-Latn"/>
              </w:rPr>
              <w:t>2. Livia dixit puerum venisse.</w:t>
            </w:r>
          </w:p>
          <w:p>
            <w:pPr>
              <w:spacing w:after="0" w:line="264" w:lineRule="auto"/>
            </w:pPr>
            <w:r>
              <w:rPr>
                <w:rFonts w:ascii="Arial" w:hAnsi="Arial"/>
                <w:sz w:val="24"/>
                <w:lang w:val="la-Latn"/>
              </w:rPr>
              <w:t>3. Livia dixit puerum venturum esse.</w:t>
            </w:r>
          </w:p>
          <w:p>
            <w:pPr>
              <w:spacing w:after="0" w:line="264" w:lineRule="auto"/>
            </w:pPr>
            <w:r>
              <w:rPr>
                <w:rFonts w:ascii="Arial" w:hAnsi="Arial"/>
                <w:sz w:val="24"/>
                <w:lang w:val="la-Latn"/>
              </w:rPr>
              <w:t>4. Marcus scit ubi puer sit.</w:t>
            </w:r>
          </w:p>
        </w:tc>
      </w:tr>
    </w:tbl>
    <w:p>
      <w:pPr>
        <w:spacing w:line="60" w:lineRule="exact" w:after="100"/>
      </w:pPr>
    </w:p>
    <w:p>
      <w:pPr>
        <w:spacing w:after="100"/>
      </w:pPr>
      <w:r>
        <w:rPr>
          <w:sz w:val="21"/>
        </w:rPr>
        <w:t>dixit : a dit ; puerum : le garçon, accusatif ; adesse : infinitif présent, être présent ; venisse : infinitif parfait, être venu ; venturum esse : infinitif futur actif ; scit : sait ; ubi : où ; puer : le garçon, nominatif ; sit : subjonctif présent de sum.</w:t>
      </w:r>
    </w:p>
    <w:p>
      <w:pPr>
        <w:keepNext/>
        <w:spacing w:after="80"/>
      </w:pPr>
      <w:r>
        <w:t>A1 (2 points). Dans la phrase 1, relevez le verbe introducteur, le sujet de l’infinitif avec son cas, et l’infinitif avec son temps. Situez la présence du garçon par rapport à la déclaration.</w:t>
      </w:r>
    </w:p>
    <w:p>
      <w:pPr>
        <w:spacing w:after="180" w:line="240" w:lineRule="auto"/>
        <w:ind w:left="0" w:right="0" w:firstLine="0"/>
        <w:jc w:val="left"/>
      </w:pPr>
      <w:r>
        <w:drawing>
          <wp:inline xmlns:a="http://schemas.openxmlformats.org/drawingml/2006/main" xmlns:pic="http://schemas.openxmlformats.org/drawingml/2006/picture">
            <wp:extent cx="6263999" cy="864000"/>
            <wp:docPr id="44" name="Picture 44" descr="3 lignes Seyès pour eval_A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263999" cy="864000"/>
                    </a:xfrm>
                    <a:prstGeom prst="rect"/>
                  </pic:spPr>
                </pic:pic>
              </a:graphicData>
            </a:graphic>
          </wp:inline>
        </w:drawing>
      </w:r>
    </w:p>
    <w:p>
      <w:pPr>
        <w:keepNext/>
        <w:spacing w:after="80"/>
      </w:pPr>
      <w:r>
        <w:t>A2 (4 points). Traduisez les phrases 2 et 3. Pour chacune, donnez le temps de l’infinitif et expliquez la relation temporelle conservée dans votre traduction.</w:t>
      </w:r>
    </w:p>
    <w:p>
      <w:pPr>
        <w:spacing w:after="180" w:line="240" w:lineRule="auto"/>
        <w:ind w:left="0" w:right="0" w:firstLine="0"/>
        <w:jc w:val="left"/>
      </w:pPr>
      <w:r>
        <w:drawing>
          <wp:inline xmlns:a="http://schemas.openxmlformats.org/drawingml/2006/main" xmlns:pic="http://schemas.openxmlformats.org/drawingml/2006/picture">
            <wp:extent cx="6263999" cy="1440000"/>
            <wp:docPr id="45" name="Picture 45" descr="5 lignes Seyès pour eval_A2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263999" cy="1440000"/>
                    </a:xfrm>
                    <a:prstGeom prst="rect"/>
                  </pic:spPr>
                </pic:pic>
              </a:graphicData>
            </a:graphic>
          </wp:inline>
        </w:drawing>
      </w:r>
    </w:p>
    <w:p>
      <w:pPr>
        <w:keepNext/>
        <w:spacing w:after="80"/>
      </w:pPr>
      <w:r>
        <w:t>A3 (2 points). Dans la phrase 4, identifiez la subordonnée, puis le mode et le temps de sit. Ce mode prouve-t-il que Marcus doute de l’endroit où se trouve le garçon ? Justifiez votre réponse.</w:t>
      </w:r>
    </w:p>
    <w:p>
      <w:pPr>
        <w:spacing w:after="180" w:line="240" w:lineRule="auto"/>
        <w:ind w:left="0" w:right="0" w:firstLine="0"/>
        <w:jc w:val="left"/>
      </w:pPr>
      <w:r>
        <w:drawing>
          <wp:inline xmlns:a="http://schemas.openxmlformats.org/drawingml/2006/main" xmlns:pic="http://schemas.openxmlformats.org/drawingml/2006/picture">
            <wp:extent cx="6263999" cy="864000"/>
            <wp:docPr id="46" name="Picture 46" descr="3 lignes Seyès pour eval_A3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263999" cy="864000"/>
                    </a:xfrm>
                    <a:prstGeom prst="rect"/>
                  </pic:spPr>
                </pic:pic>
              </a:graphicData>
            </a:graphic>
          </wp:inline>
        </w:drawing>
      </w:r>
    </w:p>
    <w:p>
      <w:pPr>
        <w:pStyle w:val="Heading1"/>
        <w:pageBreakBefore/>
      </w:pPr>
      <w:r>
        <w:t>Évaluation B Construire le propos rapporté</w:t>
      </w:r>
    </w:p>
    <w:p>
      <w:pPr>
        <w:spacing w:after="100"/>
      </w:pPr>
      <w:r>
        <w:rPr>
          <w:sz w:val="21"/>
        </w:rPr>
        <w:t>55 minutes pour l’ensemble du devoir • Total 20 points • Partie B : 6 points</w:t>
      </w:r>
    </w:p>
    <w:p>
      <w:pPr>
        <w:spacing w:after="100"/>
      </w:pPr>
      <w:r>
        <w:rPr>
          <w:sz w:val="21"/>
        </w:rPr>
        <w:t>Supports fabriqués pour l’évaluation — aucune citation antique.</w:t>
      </w:r>
    </w:p>
    <w:p>
      <w:pPr>
        <w:spacing w:after="100"/>
      </w:pPr>
      <w:r>
        <w:rPr>
          <w:sz w:val="21"/>
        </w:rPr>
        <w:t>legere : lire ; venturam esse : infinitif futur actif, féminin accusatif singulier ; sit : subjonctif présent ; esset : subjonctif imparfait. Dans B1 b, veniam signifie « je viendrai ».</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a. Livia dicit : « Lego. »</w:t>
            </w:r>
          </w:p>
          <w:p>
            <w:pPr>
              <w:spacing w:after="0" w:line="264" w:lineRule="auto"/>
            </w:pPr>
            <w:r>
              <w:rPr>
                <w:rFonts w:ascii="Arial" w:hAnsi="Arial"/>
                <w:sz w:val="24"/>
                <w:lang w:val="la-Latn"/>
              </w:rPr>
              <w:t>b. Livia dixit : « Veniam. »</w:t>
            </w:r>
          </w:p>
        </w:tc>
      </w:tr>
    </w:tbl>
    <w:p>
      <w:pPr>
        <w:spacing w:line="60" w:lineRule="exact" w:after="100"/>
      </w:pPr>
    </w:p>
    <w:p>
      <w:r>
        <w:t>B1 (4 points). Rapportez les deux déclarations au discours indirect en conservant chaque verbe introducteur. Livia parle d’elle-même ; veillez au sujet et à l’accord du participe. Expliquez ensuite pourquoi « viendrait », dans la traduction française de b, n’exprime pas ici une réserve.</w:t>
      </w:r>
    </w:p>
    <w:p>
      <w:pPr>
        <w:keepNext/>
        <w:spacing w:after="80"/>
      </w:pPr>
      <w:r>
        <w:t>a. Déclaration au présent</w:t>
      </w:r>
    </w:p>
    <w:p>
      <w:pPr>
        <w:spacing w:after="180" w:line="240" w:lineRule="auto"/>
        <w:ind w:left="0" w:right="0" w:firstLine="0"/>
        <w:jc w:val="left"/>
      </w:pPr>
      <w:r>
        <w:drawing>
          <wp:inline xmlns:a="http://schemas.openxmlformats.org/drawingml/2006/main" xmlns:pic="http://schemas.openxmlformats.org/drawingml/2006/picture">
            <wp:extent cx="6263999" cy="576000"/>
            <wp:docPr id="47" name="Picture 47" descr="2 lignes Seyès pour eval_B1_0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263999" cy="576000"/>
                    </a:xfrm>
                    <a:prstGeom prst="rect"/>
                  </pic:spPr>
                </pic:pic>
              </a:graphicData>
            </a:graphic>
          </wp:inline>
        </w:drawing>
      </w:r>
    </w:p>
    <w:p>
      <w:pPr>
        <w:keepNext/>
        <w:spacing w:after="80"/>
      </w:pPr>
      <w:r>
        <w:t>b. Déclaration passée et explication du conditionnel français</w:t>
      </w:r>
    </w:p>
    <w:p>
      <w:pPr>
        <w:spacing w:after="180" w:line="240" w:lineRule="auto"/>
        <w:ind w:left="0" w:right="0" w:firstLine="0"/>
        <w:jc w:val="left"/>
      </w:pPr>
      <w:r>
        <w:drawing>
          <wp:inline xmlns:a="http://schemas.openxmlformats.org/drawingml/2006/main" xmlns:pic="http://schemas.openxmlformats.org/drawingml/2006/picture">
            <wp:extent cx="6263999" cy="1152000"/>
            <wp:docPr id="48" name="Picture 48" descr="4 lignes Seyès pour eval_B1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a. Marcus scit ubi puer [est].</w:t>
            </w:r>
          </w:p>
          <w:p>
            <w:pPr>
              <w:spacing w:after="0" w:line="264" w:lineRule="auto"/>
            </w:pPr>
            <w:r>
              <w:rPr>
                <w:rFonts w:ascii="Arial" w:hAnsi="Arial"/>
                <w:sz w:val="24"/>
                <w:lang w:val="la-Latn"/>
              </w:rPr>
              <w:t>b. Marcus quaesivit ubi puer [est].</w:t>
            </w:r>
          </w:p>
        </w:tc>
      </w:tr>
    </w:tbl>
    <w:p>
      <w:pPr>
        <w:spacing w:line="60" w:lineRule="exact" w:after="100"/>
      </w:pPr>
    </w:p>
    <w:p>
      <w:r>
        <w:t>B2 (2 points). Remplacez est, dans chaque phrase, par la forme attendue dans l’interrogation indirecte. La situation du garçon est simultanée à scit dans a et à la demande passée dans b.</w:t>
      </w:r>
    </w:p>
    <w:p>
      <w:pPr>
        <w:keepNext/>
        <w:spacing w:after="80"/>
      </w:pPr>
      <w:r>
        <w:t>a. Après scit</w:t>
      </w:r>
    </w:p>
    <w:p>
      <w:pPr>
        <w:spacing w:after="180" w:line="240" w:lineRule="auto"/>
        <w:ind w:left="0" w:right="0" w:firstLine="0"/>
        <w:jc w:val="left"/>
      </w:pPr>
      <w:r>
        <w:drawing>
          <wp:inline xmlns:a="http://schemas.openxmlformats.org/drawingml/2006/main" xmlns:pic="http://schemas.openxmlformats.org/drawingml/2006/picture">
            <wp:extent cx="6263999" cy="576000"/>
            <wp:docPr id="49" name="Picture 49" descr="2 lignes Seyès pour eval_B2_0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263999" cy="576000"/>
                    </a:xfrm>
                    <a:prstGeom prst="rect"/>
                  </pic:spPr>
                </pic:pic>
              </a:graphicData>
            </a:graphic>
          </wp:inline>
        </w:drawing>
      </w:r>
    </w:p>
    <w:p>
      <w:pPr>
        <w:keepNext/>
        <w:spacing w:after="80"/>
      </w:pPr>
      <w:r>
        <w:t>b. Après quaesivit</w:t>
      </w:r>
    </w:p>
    <w:p>
      <w:pPr>
        <w:spacing w:after="180" w:line="240" w:lineRule="auto"/>
        <w:ind w:left="0" w:right="0" w:firstLine="0"/>
        <w:jc w:val="left"/>
      </w:pPr>
      <w:r>
        <w:drawing>
          <wp:inline xmlns:a="http://schemas.openxmlformats.org/drawingml/2006/main" xmlns:pic="http://schemas.openxmlformats.org/drawingml/2006/picture">
            <wp:extent cx="6263999" cy="576000"/>
            <wp:docPr id="50" name="Picture 50" descr="2 lignes Seyès pour eval_B2_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263999" cy="576000"/>
                    </a:xfrm>
                    <a:prstGeom prst="rect"/>
                  </pic:spPr>
                </pic:pic>
              </a:graphicData>
            </a:graphic>
          </wp:inline>
        </w:drawing>
      </w:r>
    </w:p>
    <w:p>
      <w:pPr>
        <w:pStyle w:val="Heading1"/>
        <w:pageBreakBefore/>
      </w:pPr>
      <w:r>
        <w:t>Évaluation C Comparer deux écritures de l’histoire</w:t>
      </w:r>
    </w:p>
    <w:p>
      <w:pPr>
        <w:spacing w:after="100"/>
      </w:pPr>
      <w:r>
        <w:rPr>
          <w:sz w:val="21"/>
        </w:rPr>
        <w:t>55 minutes pour l’ensemble du devoir • Total 20 points • Partie C : 6 points</w:t>
      </w:r>
    </w:p>
    <w:p>
      <w:r>
        <w:t>Les textes latins L3 et L4, accompagnés de leur lexique et de quelques aides de construction, sont reproduits sur les deux pages suivantes et sont autorisés. Vous pouvez les détacher et les garder à côté de cette page. Appuyez vos réponses sur les mots latins.</w:t>
      </w:r>
    </w:p>
    <w:p>
      <w:pPr>
        <w:keepNext/>
        <w:spacing w:after="80"/>
      </w:pPr>
      <w:r>
        <w:t>C1 (2 points). Dans Tacite XV, 38, 1, expliquez ce qui demeure incertain et indiquez les mots qui attribuent les versions à d’autres auteurs.</w:t>
      </w:r>
    </w:p>
    <w:p>
      <w:pPr>
        <w:spacing w:after="180" w:line="240" w:lineRule="auto"/>
        <w:ind w:left="0" w:right="0" w:firstLine="0"/>
        <w:jc w:val="left"/>
      </w:pPr>
      <w:r>
        <w:drawing>
          <wp:inline xmlns:a="http://schemas.openxmlformats.org/drawingml/2006/main" xmlns:pic="http://schemas.openxmlformats.org/drawingml/2006/picture">
            <wp:extent cx="6263999" cy="1152000"/>
            <wp:docPr id="51" name="Picture 51" descr="4 lignes Seyès pour eval_C1 avec pas principal de 8 mm et interlignes de 2 mm"/>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263999" cy="1152000"/>
                    </a:xfrm>
                    <a:prstGeom prst="rect"/>
                  </pic:spPr>
                </pic:pic>
              </a:graphicData>
            </a:graphic>
          </wp:inline>
        </w:drawing>
      </w:r>
    </w:p>
    <w:p>
      <w:pPr>
        <w:keepNext/>
        <w:spacing w:after="80"/>
      </w:pPr>
      <w:r>
        <w:t>C2 (4 points). En cinq ou six phrases françaises, comparez Tacite XV, 39 et Suétone 38. Relevez un indice latin qui annonce le statut du propos chez Tacite et un indice qui manifeste l’accusation de Suétone. Distinguez le chant et le déclenchement de l’incendie, ainsi que l’appréciation sur les flammes attribuée à Néron. Expliquez enfin pourquoi cette lecture grammaticale ne prouve pas à elle seule la responsabilité historique de Néron.</w:t>
      </w:r>
    </w:p>
    <w:p>
      <w:pPr>
        <w:spacing w:after="180" w:line="240" w:lineRule="auto"/>
        <w:ind w:left="0" w:right="0" w:firstLine="0"/>
        <w:jc w:val="left"/>
      </w:pPr>
      <w:r>
        <w:drawing>
          <wp:inline xmlns:a="http://schemas.openxmlformats.org/drawingml/2006/main" xmlns:pic="http://schemas.openxmlformats.org/drawingml/2006/picture">
            <wp:extent cx="6263999" cy="2304000"/>
            <wp:docPr id="52" name="Picture 52" descr="8 lignes Seyès pour eval_C2 avec pas principal de 8 mm et interlignes de 2 mm"/>
            <wp:cNvGraphicFramePr>
              <a:graphicFrameLocks noChangeAspect="1"/>
            </wp:cNvGraphicFramePr>
            <a:graphic>
              <a:graphicData uri="http://schemas.openxmlformats.org/drawingml/2006/picture">
                <pic:pic>
                  <pic:nvPicPr>
                    <pic:cNvPr id="0" name="seyes_8_lignes.png"/>
                    <pic:cNvPicPr/>
                  </pic:nvPicPr>
                  <pic:blipFill>
                    <a:blip r:embed="rId34"/>
                    <a:stretch>
                      <a:fillRect/>
                    </a:stretch>
                  </pic:blipFill>
                  <pic:spPr>
                    <a:xfrm>
                      <a:off x="0" y="0"/>
                      <a:ext cx="6263999" cy="2304000"/>
                    </a:xfrm>
                    <a:prstGeom prst="rect"/>
                  </pic:spPr>
                </pic:pic>
              </a:graphicData>
            </a:graphic>
          </wp:inline>
        </w:drawing>
      </w:r>
    </w:p>
    <w:p>
      <w:pPr>
        <w:pStyle w:val="Heading1"/>
        <w:pageBreakBefore/>
      </w:pPr>
      <w:r>
        <w:t>Document autorisé L3 Tacite</w:t>
      </w:r>
    </w:p>
    <w:p>
      <w:pPr>
        <w:spacing w:after="100"/>
      </w:pPr>
      <w:r>
        <w:rPr>
          <w:sz w:val="21"/>
        </w:rPr>
        <w:t>Annales, XV, 38 (première phrase) et 39, 1–3.</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Sequitur clades, forte an dolo principis incertum (nam utrumque auctores prodidere), sed omnibus quae huic urbi per violentiam ignium acciderunt gravior atque atrocior.</w:t>
            </w:r>
          </w:p>
          <w:p>
            <w:pPr>
              <w:spacing w:after="120" w:line="264" w:lineRule="auto"/>
            </w:pPr>
            <w:r>
              <w:rPr>
                <w:rFonts w:ascii="Arial" w:hAnsi="Arial"/>
                <w:sz w:val="24"/>
                <w:lang w:val="la-Latn"/>
              </w:rPr>
              <w:t>[…]</w:t>
            </w:r>
          </w:p>
          <w:p>
            <w:pPr>
              <w:spacing w:after="120" w:line="264" w:lineRule="auto"/>
            </w:pPr>
            <w:r>
              <w:rPr>
                <w:rFonts w:ascii="Arial" w:hAnsi="Arial"/>
                <w:sz w:val="24"/>
                <w:lang w:val="la-Latn"/>
              </w:rPr>
              <w:t>[2] Eo in tempore Nero Antii agens non ante in urbem regressus est quam domui eius, qua Palatium et Maecenatis hortos continuaverat, ignis propinquaret. neque tamen sisti potuit quin et Palatium et domus et cuncta circum haurirentur.</w:t>
            </w:r>
          </w:p>
          <w:p>
            <w:pPr>
              <w:spacing w:after="120" w:line="264" w:lineRule="auto"/>
            </w:pPr>
            <w:r>
              <w:rPr>
                <w:rFonts w:ascii="Arial" w:hAnsi="Arial"/>
                <w:sz w:val="24"/>
                <w:lang w:val="la-Latn"/>
              </w:rPr>
              <w:t>[3] sed solacium populo exturbato ac profugo campum Martis ac monumenta Agrippae, hortos quin etiam suos patefecit et subitaria aedificia extruxit quae multitudinem inopem acciperent; subvectaque utensilia ab Ostia et propinquis municipiis pretiumque frumenti minutum usque ad ternos nummos.</w:t>
            </w:r>
          </w:p>
          <w:p>
            <w:pPr>
              <w:spacing w:after="0" w:line="264" w:lineRule="auto"/>
            </w:pPr>
            <w:r>
              <w:rPr>
                <w:rFonts w:ascii="Arial" w:hAnsi="Arial"/>
                <w:sz w:val="24"/>
                <w:lang w:val="la-Latn"/>
              </w:rPr>
              <w:t>[4] quae quamquam popularia in inritum cadebant, quia pervaserat rumor ipso tempore flagrantis urbis inisse eum domesticam scaenam et cecinisse Troianum excidium, praesentia mala vetustis cladibus adsimulantem.</w:t>
            </w:r>
          </w:p>
        </w:tc>
      </w:tr>
    </w:tbl>
    <w:p>
      <w:pPr>
        <w:spacing w:line="60" w:lineRule="exact" w:after="100"/>
      </w:pPr>
    </w:p>
    <w:p>
      <w:pPr>
        <w:spacing w:after="100"/>
      </w:pPr>
      <w:r>
        <w:rPr>
          <w:sz w:val="21"/>
        </w:rPr>
        <w:t>La suite du chapitre 38, qui décrit la propagation du feu et le désarroi des habitants, est omise. Le chapitre 39 est reproduit intégralement. Les numéros entre crochets sont des repères de lecture ajoutés.</w:t>
      </w:r>
    </w:p>
    <w:p>
      <w:pPr>
        <w:pStyle w:val="Heading3"/>
        <w:pageBreakBefore w:val="0"/>
      </w:pPr>
      <w:r>
        <w:t>Lexique autorisé</w:t>
      </w:r>
    </w:p>
    <w:p>
      <w:pPr>
        <w:spacing w:after="100"/>
      </w:pPr>
      <w:r>
        <w:rPr>
          <w:i/>
          <w:sz w:val="21"/>
        </w:rPr>
        <w:t>clades, cladis, f.</w:t>
      </w:r>
      <w:r>
        <w:rPr>
          <w:sz w:val="21"/>
        </w:rPr>
        <w:t xml:space="preserve"> : désastre, catastrophe ; </w:t>
      </w:r>
      <w:r>
        <w:rPr>
          <w:i/>
          <w:sz w:val="21"/>
        </w:rPr>
        <w:t>fors, fortis, f. ; ici forte à l’ablatif</w:t>
      </w:r>
      <w:r>
        <w:rPr>
          <w:sz w:val="21"/>
        </w:rPr>
        <w:t xml:space="preserve"> : hasard ; forte : par hasard, par accident ; </w:t>
      </w:r>
      <w:r>
        <w:rPr>
          <w:i/>
          <w:sz w:val="21"/>
        </w:rPr>
        <w:t>dolus, -i, m.</w:t>
      </w:r>
      <w:r>
        <w:rPr>
          <w:sz w:val="21"/>
        </w:rPr>
        <w:t xml:space="preserve"> : ruse, manœuvre, intention frauduleuse ; </w:t>
      </w:r>
      <w:r>
        <w:rPr>
          <w:i/>
          <w:sz w:val="21"/>
        </w:rPr>
        <w:t>prodo, prodere, prodidi, proditum</w:t>
      </w:r>
      <w:r>
        <w:rPr>
          <w:sz w:val="21"/>
        </w:rPr>
        <w:t xml:space="preserve"> : rapporter, transmettre ; prodidere = prodiderunt ; </w:t>
      </w:r>
      <w:r>
        <w:rPr>
          <w:i/>
          <w:sz w:val="21"/>
        </w:rPr>
        <w:t>solacium, -ii, n.</w:t>
      </w:r>
      <w:r>
        <w:rPr>
          <w:sz w:val="21"/>
        </w:rPr>
        <w:t xml:space="preserve"> : secours, soulagement ; </w:t>
      </w:r>
      <w:r>
        <w:rPr>
          <w:i/>
          <w:sz w:val="21"/>
        </w:rPr>
        <w:t>profugus, -a, -um</w:t>
      </w:r>
      <w:r>
        <w:rPr>
          <w:sz w:val="21"/>
        </w:rPr>
        <w:t xml:space="preserve"> : sans refuge, en fuite.</w:t>
      </w:r>
    </w:p>
    <w:p>
      <w:pPr>
        <w:spacing w:after="100"/>
      </w:pPr>
      <w:r>
        <w:rPr>
          <w:i/>
          <w:sz w:val="21"/>
        </w:rPr>
        <w:t>patefacio, patefacere, patefeci, patefactum</w:t>
      </w:r>
      <w:r>
        <w:rPr>
          <w:sz w:val="21"/>
        </w:rPr>
        <w:t xml:space="preserve"> : ouvrir, rendre accessible ; </w:t>
      </w:r>
      <w:r>
        <w:rPr>
          <w:i/>
          <w:sz w:val="21"/>
        </w:rPr>
        <w:t>subveho, subvehere, subvexi, subvectum</w:t>
      </w:r>
      <w:r>
        <w:rPr>
          <w:sz w:val="21"/>
        </w:rPr>
        <w:t xml:space="preserve"> : apporter, transporter ; </w:t>
      </w:r>
      <w:r>
        <w:rPr>
          <w:i/>
          <w:sz w:val="21"/>
        </w:rPr>
        <w:t>inops, inopis</w:t>
      </w:r>
      <w:r>
        <w:rPr>
          <w:sz w:val="21"/>
        </w:rPr>
        <w:t xml:space="preserve"> : démuni, sans ressources ; </w:t>
      </w:r>
      <w:r>
        <w:rPr>
          <w:i/>
          <w:sz w:val="21"/>
        </w:rPr>
        <w:t>pervado, pervadere, pervasi, pervasum</w:t>
      </w:r>
      <w:r>
        <w:rPr>
          <w:sz w:val="21"/>
        </w:rPr>
        <w:t xml:space="preserve"> : se répandre, parcourir ; </w:t>
      </w:r>
      <w:r>
        <w:rPr>
          <w:i/>
          <w:sz w:val="21"/>
        </w:rPr>
        <w:t>rumor, rumoris, m.</w:t>
      </w:r>
      <w:r>
        <w:rPr>
          <w:sz w:val="21"/>
        </w:rPr>
        <w:t xml:space="preserve"> : rumeur, bruit qui circule ; </w:t>
      </w:r>
      <w:r>
        <w:rPr>
          <w:i/>
          <w:sz w:val="21"/>
        </w:rPr>
        <w:t>adsimulo, -are, -avi, -atum</w:t>
      </w:r>
      <w:r>
        <w:rPr>
          <w:sz w:val="21"/>
        </w:rPr>
        <w:t xml:space="preserve"> : comparer, assimiler ; construction avec accusatif et datif.</w:t>
      </w:r>
    </w:p>
    <w:p>
      <w:pPr>
        <w:spacing w:after="100"/>
      </w:pPr>
      <w:r>
        <w:rPr>
          <w:i/>
          <w:sz w:val="21"/>
        </w:rPr>
        <w:t>minuo, -is, -ere, minui, minutum</w:t>
      </w:r>
      <w:r>
        <w:rPr>
          <w:sz w:val="21"/>
        </w:rPr>
        <w:t xml:space="preserve"> : réduire, abaisser ; </w:t>
      </w:r>
      <w:r>
        <w:rPr>
          <w:i/>
          <w:sz w:val="21"/>
        </w:rPr>
        <w:t>terni, -ae, -a</w:t>
      </w:r>
      <w:r>
        <w:rPr>
          <w:sz w:val="21"/>
        </w:rPr>
        <w:t xml:space="preserve"> : trois chacun ; ici trois, dans ad ternos nummos.</w:t>
      </w:r>
    </w:p>
    <w:p>
      <w:pPr>
        <w:pStyle w:val="Heading3"/>
        <w:pageBreakBefore w:val="0"/>
      </w:pPr>
      <w:r>
        <w:t>Aides de construction autorisées</w:t>
      </w:r>
    </w:p>
    <w:p>
      <w:pPr>
        <w:spacing w:after="100"/>
      </w:pPr>
      <w:r>
        <w:rPr>
          <w:sz w:val="21"/>
        </w:rPr>
        <w:t>• Appuyez chaque justification sur quelques mots latins entre guillemets, plutôt que sur une impression d'ensemble.</w:t>
      </w:r>
    </w:p>
    <w:p>
      <w:pPr>
        <w:spacing w:after="100"/>
      </w:pPr>
      <w:r>
        <w:rPr>
          <w:sz w:val="21"/>
        </w:rPr>
        <w:t>• Un propos peut dépendre d'un nom qui annonce son statut : le latin n'emploie pas toujours un verbe de parole.</w:t>
      </w:r>
    </w:p>
    <w:p>
      <w:pPr>
        <w:spacing w:after="100"/>
      </w:pPr>
      <w:r>
        <w:rPr>
          <w:sz w:val="21"/>
        </w:rPr>
        <w:t>• Distinguez le temps d'une forme verbale, la construction qui l'explique et la manière dont le propos est attribué.</w:t>
      </w:r>
    </w:p>
    <w:p>
      <w:pPr>
        <w:pStyle w:val="Heading1"/>
        <w:pageBreakBefore/>
      </w:pPr>
      <w:r>
        <w:t>Document autorisé L4 Suétone</w:t>
      </w:r>
    </w:p>
    <w:p>
      <w:pPr>
        <w:spacing w:after="100"/>
      </w:pPr>
      <w:r>
        <w:rPr>
          <w:sz w:val="21"/>
        </w:rPr>
        <w:t>Nero, 38, 1 et 2, avec une coupure signalée à l’intérieur de 38, 2.</w:t>
      </w:r>
    </w:p>
    <w:tbl>
      <w:tblPr>
        <w:tblW w:type="dxa" w:w="9865"/>
        <w:jc w:val="center"/>
        <w:tblLayout w:type="fixed"/>
        <w:tblLook w:firstColumn="1" w:firstRow="1" w:lastColumn="0" w:lastRow="0" w:noHBand="0" w:noVBand="1" w:val="04A0"/>
        <w:tblBorders>
          <w:top w:val="single" w:sz="10" w:color="D9D9D9"/>
          <w:left w:val="single" w:sz="10" w:color="D9D9D9"/>
          <w:bottom w:val="single" w:sz="10" w:color="D9D9D9"/>
          <w:right w:val="single" w:sz="10" w:color="D9D9D9"/>
        </w:tblBorders>
      </w:tblPr>
      <w:tblGrid>
        <w:gridCol w:w="9865"/>
      </w:tblGrid>
      <w:tr>
        <w:trPr>
          <w:cantSplit/>
        </w:trPr>
        <w:tc>
          <w:tcPr>
            <w:tcW w:type="dxa" w:w="9865"/>
            <w:tcMar>
              <w:top w:w="145" w:type="dxa"/>
              <w:bottom w:w="145" w:type="dxa"/>
              <w:left w:w="180" w:type="dxa"/>
              <w:right w:w="180" w:type="dxa"/>
            </w:tcMar>
          </w:tcPr>
          <w:p>
            <w:pPr>
              <w:spacing w:after="120" w:line="264" w:lineRule="auto"/>
            </w:pPr>
            <w:r>
              <w:rPr>
                <w:rFonts w:ascii="Arial" w:hAnsi="Arial"/>
                <w:sz w:val="24"/>
                <w:lang w:val="la-Latn"/>
              </w:rPr>
              <w:t>[1] Sed nec populo aut moenibus patriae pepercit. dicente quodam in sermone communi: ἐμοῦ θανόντος γαῖα μειχθήτω πυρί, 'immo,' inquit, 'ἐμοῦ ζῶντος,' planeque ita fecit. nam quasi offensus deformitate ueterum aedificiorum et angustiis flexurisque uicorum, incendit urbem tam palam, ut plerique consulares cubicularios eius cum stuppa taedaque in praediis suis deprehensos non attigerint, et quaedam horrea circa domum Auream, quorum spatium maxime desiderabat, ut bellicis machinis labefacta atque inflammata sint, quod saxeo muro constructa erant.</w:t>
            </w:r>
          </w:p>
          <w:p>
            <w:pPr>
              <w:spacing w:after="0" w:line="264" w:lineRule="auto"/>
            </w:pPr>
            <w:r>
              <w:rPr>
                <w:rFonts w:ascii="Arial" w:hAnsi="Arial"/>
                <w:sz w:val="24"/>
                <w:lang w:val="la-Latn"/>
              </w:rPr>
              <w:t>[2] per sex dies septemque noctes ea clade saeuitum est ad monumentorum bustorumque deuersoria plebe compulsa. […] hoc incendium e turre Maecenatiana prospectans laetusque 'flammae,' ut aiebat, 'pulchritudine' Halosin Ilii in illo suo scaenico habitu decantauit.</w:t>
            </w:r>
          </w:p>
        </w:tc>
      </w:tr>
    </w:tbl>
    <w:p>
      <w:pPr>
        <w:spacing w:line="60" w:lineRule="exact" w:after="100"/>
      </w:pPr>
    </w:p>
    <w:p>
      <w:pPr>
        <w:spacing w:after="100"/>
      </w:pPr>
      <w:r>
        <w:rPr>
          <w:sz w:val="21"/>
        </w:rPr>
        <w:t>L’énumération des édifices détruits, en 38, 2, est omise et signalée par […]. Les numéros entre crochets sont des repères ajoutés.</w:t>
      </w:r>
    </w:p>
    <w:p>
      <w:pPr>
        <w:spacing w:after="100"/>
      </w:pPr>
      <w:r>
        <w:rPr>
          <w:sz w:val="21"/>
        </w:rPr>
        <w:t>Suétone cite ici quelques paroles en grec ; elles sont conservées dans leur langue d’origine et ne font pas partie des questions de traduction latine.</w:t>
      </w:r>
    </w:p>
    <w:p>
      <w:pPr>
        <w:spacing w:after="100"/>
      </w:pPr>
      <w:r>
        <w:rPr>
          <w:sz w:val="21"/>
        </w:rPr>
        <w:t>Aide pour les seules répliques grecques : « Une fois que je serai mort, que la terre se mêle au feu ! » Réponse de Néron : « De mon vivant ! » Halosin Ilii : « la Prise d’Ilion », c’est-à-dire de Troie.</w:t>
      </w:r>
    </w:p>
    <w:p>
      <w:pPr>
        <w:pStyle w:val="Heading3"/>
        <w:pageBreakBefore w:val="0"/>
      </w:pPr>
      <w:r>
        <w:t>Lexique autorisé</w:t>
      </w:r>
    </w:p>
    <w:p>
      <w:pPr>
        <w:spacing w:after="100"/>
      </w:pPr>
      <w:r>
        <w:rPr>
          <w:i/>
          <w:sz w:val="21"/>
        </w:rPr>
        <w:t>parco, parcere, peperci, parsum + datif</w:t>
      </w:r>
      <w:r>
        <w:rPr>
          <w:sz w:val="21"/>
        </w:rPr>
        <w:t xml:space="preserve"> : épargner ; </w:t>
      </w:r>
      <w:r>
        <w:rPr>
          <w:i/>
          <w:sz w:val="21"/>
        </w:rPr>
        <w:t>moenia, moenium, n. pl.</w:t>
      </w:r>
      <w:r>
        <w:rPr>
          <w:sz w:val="21"/>
        </w:rPr>
        <w:t xml:space="preserve"> : murs, remparts ; </w:t>
      </w:r>
      <w:r>
        <w:rPr>
          <w:i/>
          <w:sz w:val="21"/>
        </w:rPr>
        <w:t>sermo, sermonis, m.</w:t>
      </w:r>
      <w:r>
        <w:rPr>
          <w:sz w:val="21"/>
        </w:rPr>
        <w:t xml:space="preserve"> : conversation, propos ; </w:t>
      </w:r>
      <w:r>
        <w:rPr>
          <w:i/>
          <w:sz w:val="21"/>
        </w:rPr>
        <w:t>inquam — verbe défectif ; ici inquit</w:t>
      </w:r>
      <w:r>
        <w:rPr>
          <w:sz w:val="21"/>
        </w:rPr>
        <w:t xml:space="preserve"> : dire ; inquit : dit-il ; </w:t>
      </w:r>
      <w:r>
        <w:rPr>
          <w:i/>
          <w:sz w:val="21"/>
        </w:rPr>
        <w:t>offendo, offendere, offendi, offensum</w:t>
      </w:r>
      <w:r>
        <w:rPr>
          <w:sz w:val="21"/>
        </w:rPr>
        <w:t xml:space="preserve"> : heurter, offenser ; offensus : choqué ; </w:t>
      </w:r>
      <w:r>
        <w:rPr>
          <w:i/>
          <w:sz w:val="21"/>
        </w:rPr>
        <w:t>cubicularius, -ii, m.</w:t>
      </w:r>
      <w:r>
        <w:rPr>
          <w:sz w:val="21"/>
        </w:rPr>
        <w:t xml:space="preserve"> : valet de chambre.</w:t>
      </w:r>
    </w:p>
    <w:p>
      <w:pPr>
        <w:spacing w:after="100"/>
      </w:pPr>
      <w:r>
        <w:rPr>
          <w:i/>
          <w:sz w:val="21"/>
        </w:rPr>
        <w:t>stuppa, -ae, f.</w:t>
      </w:r>
      <w:r>
        <w:rPr>
          <w:sz w:val="21"/>
        </w:rPr>
        <w:t xml:space="preserve"> : étoupe, matière végétale inflammable ; </w:t>
      </w:r>
      <w:r>
        <w:rPr>
          <w:i/>
          <w:sz w:val="21"/>
        </w:rPr>
        <w:t>taeda, -ae, f.</w:t>
      </w:r>
      <w:r>
        <w:rPr>
          <w:sz w:val="21"/>
        </w:rPr>
        <w:t xml:space="preserve"> : torche ; </w:t>
      </w:r>
      <w:r>
        <w:rPr>
          <w:i/>
          <w:sz w:val="21"/>
        </w:rPr>
        <w:t>deprehendo, deprehendere, deprehendi, deprehensum</w:t>
      </w:r>
      <w:r>
        <w:rPr>
          <w:sz w:val="21"/>
        </w:rPr>
        <w:t xml:space="preserve"> : surprendre, prendre sur le fait ; </w:t>
      </w:r>
      <w:r>
        <w:rPr>
          <w:i/>
          <w:sz w:val="21"/>
        </w:rPr>
        <w:t>horreum, -i, n.</w:t>
      </w:r>
      <w:r>
        <w:rPr>
          <w:sz w:val="21"/>
        </w:rPr>
        <w:t xml:space="preserve"> : entrepôt, grenier ; </w:t>
      </w:r>
      <w:r>
        <w:rPr>
          <w:i/>
          <w:sz w:val="21"/>
        </w:rPr>
        <w:t>labefacio, labefacere, labefeci, labefactum</w:t>
      </w:r>
      <w:r>
        <w:rPr>
          <w:sz w:val="21"/>
        </w:rPr>
        <w:t xml:space="preserve"> : ébranler, endommager ; </w:t>
      </w:r>
      <w:r>
        <w:rPr>
          <w:i/>
          <w:sz w:val="21"/>
        </w:rPr>
        <w:t>aio — verbe défectif ; ici aiebat, imparfait, 3e personne du singulier</w:t>
      </w:r>
      <w:r>
        <w:rPr>
          <w:sz w:val="21"/>
        </w:rPr>
        <w:t xml:space="preserve"> : dire, affirmer.</w:t>
      </w:r>
    </w:p>
    <w:p>
      <w:pPr>
        <w:pStyle w:val="Heading3"/>
        <w:pageBreakBefore w:val="0"/>
      </w:pPr>
      <w:r>
        <w:t>Aides de construction autorisées</w:t>
      </w:r>
    </w:p>
    <w:p>
      <w:pPr>
        <w:spacing w:after="100"/>
      </w:pPr>
      <w:r>
        <w:rPr>
          <w:sz w:val="21"/>
        </w:rPr>
        <w:t>• Pour interpréter une réserve ou une attribution, délimitez le groupe de mots qu'elle accompagne.</w:t>
      </w:r>
    </w:p>
    <w:p>
      <w:pPr>
        <w:spacing w:after="100"/>
      </w:pPr>
      <w:r>
        <w:rPr>
          <w:sz w:val="21"/>
        </w:rPr>
        <w:t>• Lorsque deux temps ont la même graphie latine, relisez les autres verbes du récit avant de choisir une analyse.</w:t>
      </w:r>
    </w:p>
    <w:p>
      <w:pPr>
        <w:spacing w:after="100"/>
      </w:pPr>
      <w:r>
        <w:rPr>
          <w:sz w:val="21"/>
        </w:rPr>
        <w:t>• Vérifiez si une construction impose le subjonctif avant d'y chercher une marque d'incertitude.</w:t>
      </w:r>
    </w:p>
    <w:p>
      <w:pPr>
        <w:pStyle w:val="Heading1"/>
        <w:pageBreakBefore/>
      </w:pPr>
      <w:r>
        <w:t>Sources du corpus et références grammaticales</w:t>
      </w:r>
    </w:p>
    <w:p>
      <w:pPr>
        <w:spacing w:after="100"/>
      </w:pPr>
      <w:r>
        <w:rPr>
          <w:sz w:val="21"/>
        </w:rPr>
        <w:t>Les textes latins sont reproduits d’après les éditions indiquées ci-dessous, dont les textes antiques et les éditions anciennes sont dans le domaine public. Les coupures sont visibles dans les cadres ; les aides et les traductions françaises du corrigé sont des formulations de travail créées pour ce dossier. Sources consultées le 2 octobre 2026.</w:t>
      </w:r>
    </w:p>
    <w:p>
      <w:pPr>
        <w:pStyle w:val="Heading2"/>
        <w:pageBreakBefore w:val="0"/>
      </w:pPr>
      <w:r>
        <w:t>L1 Quintus Curtius Rufus (Quinte-Curce)</w:t>
      </w:r>
    </w:p>
    <w:p>
      <w:pPr>
        <w:spacing w:after="100"/>
      </w:pPr>
      <w:r>
        <w:rPr>
          <w:sz w:val="21"/>
        </w:rPr>
        <w:t>X, 10, 12–18, de Traditum magis quam creditum refero à potentia extinxit ; numérotation Vogel/LacusCurtius. • Theodor Vogel, Teubner, 1880 ; transcription LacusCurtius.</w:t>
      </w:r>
    </w:p>
    <w:p>
      <w:pPr>
        <w:spacing w:after="120"/>
      </w:pPr>
      <w:hyperlink r:id="rId37">
        <w:r>
          <w:rPr>
            <w:rFonts w:ascii="Arial"/>
            <w:sz w:val="20"/>
            <w:color w:val="000000"/>
            <w:u w:val="single"/>
          </w:rPr>
          <w:t>Texte original de Quintus Curtius Rufus (Quinte-Curce)</w:t>
        </w:r>
      </w:hyperlink>
    </w:p>
    <w:p>
      <w:pPr>
        <w:pStyle w:val="Heading2"/>
        <w:pageBreakBefore w:val="0"/>
      </w:pPr>
      <w:r>
        <w:t>L2 M. Iunianus Iustinus (Justin)</w:t>
      </w:r>
    </w:p>
    <w:p>
      <w:pPr>
        <w:spacing w:after="100"/>
      </w:pPr>
      <w:r>
        <w:rPr>
          <w:sz w:val="21"/>
        </w:rPr>
        <w:t>XII, 13, 10 à XII, 14, 9 ; de Amici causas morbi à potioni supermiserunt. • Transcription The Latin Library, fournie par David Camden ; édition imprimée de base non identifiée. Texte contrôlé avec la Bibliotheca Augustana.</w:t>
      </w:r>
    </w:p>
    <w:p>
      <w:pPr>
        <w:spacing w:after="120"/>
      </w:pPr>
      <w:hyperlink r:id="rId38">
        <w:r>
          <w:rPr>
            <w:rFonts w:ascii="Arial"/>
            <w:sz w:val="20"/>
            <w:color w:val="000000"/>
            <w:u w:val="single"/>
          </w:rPr>
          <w:t>Texte original de M. Iunianus Iustinus (Justin)</w:t>
        </w:r>
      </w:hyperlink>
    </w:p>
    <w:p>
      <w:pPr>
        <w:pStyle w:val="Heading2"/>
        <w:pageBreakBefore w:val="0"/>
      </w:pPr>
      <w:r>
        <w:t>L3 Tacite</w:t>
      </w:r>
    </w:p>
    <w:p>
      <w:pPr>
        <w:spacing w:after="100"/>
      </w:pPr>
      <w:r>
        <w:rPr>
          <w:sz w:val="21"/>
        </w:rPr>
        <w:t>Annales, XV, 38 (première phrase) et 39, 1–3. • Cornelius Tacitus, Annales ab excessu divi Augusti, éd. Charles Dennis Fisher, Oxford, Clarendon Press, 1906 ; transcription Perseus Digital Library.</w:t>
      </w:r>
    </w:p>
    <w:p>
      <w:pPr>
        <w:spacing w:after="120"/>
      </w:pPr>
      <w:hyperlink r:id="rId39">
        <w:r>
          <w:rPr>
            <w:rFonts w:ascii="Arial"/>
            <w:sz w:val="20"/>
            <w:color w:val="000000"/>
            <w:u w:val="single"/>
          </w:rPr>
          <w:t>Texte original de Tacite</w:t>
        </w:r>
      </w:hyperlink>
    </w:p>
    <w:p>
      <w:pPr>
        <w:pStyle w:val="Heading2"/>
        <w:pageBreakBefore w:val="0"/>
      </w:pPr>
      <w:r>
        <w:t>L4 Suétone</w:t>
      </w:r>
    </w:p>
    <w:p>
      <w:pPr>
        <w:spacing w:after="100"/>
      </w:pPr>
      <w:r>
        <w:rPr>
          <w:sz w:val="21"/>
        </w:rPr>
        <w:t>Nero, 38, 1 et 2, avec une coupure signalée à l’intérieur de 38, 2. • C. Suetonius Tranquillus, De vita Caesarum libri VIII, éd. Maximilian Ihm, Leipzig, Teubner, 1908 ; transcription officielle Perseus Digital Library, perseus-lat2.</w:t>
      </w:r>
    </w:p>
    <w:p>
      <w:pPr>
        <w:spacing w:after="120"/>
      </w:pPr>
      <w:hyperlink r:id="rId40">
        <w:r>
          <w:rPr>
            <w:rFonts w:ascii="Arial"/>
            <w:sz w:val="20"/>
            <w:color w:val="000000"/>
            <w:u w:val="single"/>
          </w:rPr>
          <w:t>Texte original de Suétone</w:t>
        </w:r>
      </w:hyperlink>
    </w:p>
    <w:p>
      <w:pPr>
        <w:pStyle w:val="Heading2"/>
        <w:pageBreakBefore w:val="0"/>
      </w:pPr>
      <w:r>
        <w:t>Langue latine</w:t>
      </w:r>
    </w:p>
    <w:p>
      <w:pPr>
        <w:spacing w:after="100"/>
      </w:pPr>
      <w:r>
        <w:rPr>
          <w:sz w:val="21"/>
        </w:rPr>
        <w:t>Allen et Greenough, New Latin Grammar for Schools and Colleges, édition de 1903, version numérique éditée par Meagan Ayer, Dickinson College Commentaries, 2014 : §§ 573–575, 579–580 et 584. Les leçons retiennent les constructions classiques usuelles ; elles ne présentent pas une liste complète des usages particuliers.</w:t>
      </w:r>
    </w:p>
    <w:p>
      <w:pPr>
        <w:spacing w:after="120"/>
      </w:pPr>
      <w:hyperlink r:id="rId41">
        <w:r>
          <w:rPr>
            <w:rFonts w:ascii="Arial"/>
            <w:sz w:val="20"/>
            <w:color w:val="000000"/>
            <w:u w:val="single"/>
          </w:rPr>
          <w:t>La proposition infinitive</w:t>
        </w:r>
      </w:hyperlink>
    </w:p>
    <w:p>
      <w:pPr>
        <w:spacing w:after="120"/>
      </w:pPr>
      <w:hyperlink r:id="rId42">
        <w:r>
          <w:rPr>
            <w:rFonts w:ascii="Arial"/>
            <w:sz w:val="20"/>
            <w:color w:val="000000"/>
            <w:u w:val="single"/>
          </w:rPr>
          <w:t>Les temps de l’infinitif</w:t>
        </w:r>
      </w:hyperlink>
    </w:p>
    <w:p>
      <w:pPr>
        <w:spacing w:after="120"/>
      </w:pPr>
      <w:hyperlink r:id="rId43">
        <w:r>
          <w:rPr>
            <w:rFonts w:ascii="Arial"/>
            <w:sz w:val="20"/>
            <w:color w:val="000000"/>
            <w:u w:val="single"/>
          </w:rPr>
          <w:t>Les interrogations indirectes</w:t>
        </w:r>
      </w:hyperlink>
    </w:p>
    <w:p>
      <w:pPr>
        <w:pStyle w:val="Heading2"/>
        <w:pageBreakBefore w:val="0"/>
      </w:pPr>
      <w:r>
        <w:t>Publications contemporaines</w:t>
      </w:r>
    </w:p>
    <w:p>
      <w:pPr>
        <w:spacing w:after="120"/>
      </w:pPr>
      <w:hyperlink r:id="rId12">
        <w:r>
          <w:rPr>
            <w:rFonts w:ascii="Arial"/>
            <w:sz w:val="20"/>
            <w:color w:val="000000"/>
            <w:u w:val="single"/>
          </w:rPr>
          <w:t>M1 • Bernadette Arnaud • Sciences et Avenir • 19 janvier 2020</w:t>
        </w:r>
      </w:hyperlink>
    </w:p>
    <w:p>
      <w:pPr>
        <w:spacing w:after="120"/>
      </w:pPr>
      <w:hyperlink r:id="rId13">
        <w:r>
          <w:rPr>
            <w:rFonts w:ascii="Arial"/>
            <w:sz w:val="20"/>
            <w:color w:val="000000"/>
            <w:u w:val="single"/>
          </w:rPr>
          <w:t>M2 • Yves Perrin • Le Figaro • 30 novembre 2018</w:t>
        </w:r>
      </w:hyperlink>
    </w:p>
    <w:sectPr w:rsidR="00FC693F" w:rsidRPr="0006063C" w:rsidSect="00034616">
      <w:headerReference w:type="default" r:id="rId9"/>
      <w:footerReference w:type="default" r:id="rId10"/>
      <w:pgSz w:w="11906" w:h="16838"/>
      <w:pgMar w:top="1020" w:right="1020" w:bottom="1361"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Ludendo  |  </w:t>
    </w:r>
    <w:fldSimple w:instr="PAGE"/>
    <w:r>
      <w:drawing>
        <wp:anchor distT="0" distB="0" distL="0" distR="0" simplePos="0" relativeHeight="0" behindDoc="1" locked="0" layoutInCell="1" allowOverlap="1">
          <wp:simplePos x="0" y="0"/>
          <wp:positionH relativeFrom="page">
            <wp:posOffset>648000</wp:posOffset>
          </wp:positionH>
          <wp:positionV relativeFrom="page">
            <wp:posOffset>9954000</wp:posOffset>
          </wp:positionV>
          <wp:extent cx="1368000" cy="456000"/>
          <wp:wrapNone/>
          <wp:docPr id="1" name="Picture 1" descr="Décoration à l’aquare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uarelle_sources.png"/>
                  <pic:cNvPicPr/>
                </pic:nvPicPr>
                <pic:blipFill>
                  <a:blip r:embed="rId1"/>
                  <a:stretch>
                    <a:fillRect/>
                  </a:stretch>
                </pic:blipFill>
                <pic:spPr>
                  <a:xfrm>
                    <a:off x="0" y="0"/>
                    <a:ext cx="1368000" cy="456000"/>
                  </a:xfrm>
                  <a:prstGeom prst="rect"/>
                </pic:spPr>
              </pic:pic>
            </a:graphicData>
          </a:graphic>
        </wp:anchor>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sz w:val="18"/>
      </w:rPr>
      <w:t>MODALISATION ET PAROLES RAPPORTÉES EN LATIN</w:t>
    </w:r>
    <w:r>
      <w:drawing>
        <wp:anchor distT="0" distB="0" distL="0" distR="0" simplePos="0" relativeHeight="0" behindDoc="1" locked="0" layoutInCell="1" allowOverlap="1">
          <wp:simplePos x="0" y="0"/>
          <wp:positionH relativeFrom="page">
            <wp:posOffset>7002000</wp:posOffset>
          </wp:positionH>
          <wp:positionV relativeFrom="page">
            <wp:posOffset>72000</wp:posOffset>
          </wp:positionV>
          <wp:extent cx="450000" cy="675000"/>
          <wp:wrapNone/>
          <wp:docPr id="1" name="Picture 1" descr="Décoration à l’aquare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uarelle_olivier.png"/>
                  <pic:cNvPicPr/>
                </pic:nvPicPr>
                <pic:blipFill>
                  <a:blip r:embed="rId1"/>
                  <a:stretch>
                    <a:fillRect/>
                  </a:stretch>
                </pic:blipFill>
                <pic:spPr>
                  <a:xfrm>
                    <a:off x="0" y="0"/>
                    <a:ext cx="450000" cy="675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Arial" w:hAnsi="Arial"/>
      <w:color w:val="000000"/>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140" w:line="264" w:lineRule="auto"/>
      <w:outlineLvl w:val="0"/>
    </w:pPr>
    <w:rPr>
      <w:rFonts w:asciiTheme="majorHAnsi" w:eastAsiaTheme="majorEastAsia" w:hAnsiTheme="majorHAnsi" w:cstheme="majorBidi" w:ascii="Arial" w:hAnsi="Arial"/>
      <w:b/>
      <w:bCs/>
      <w:color w:val="000000"/>
      <w:sz w:val="34"/>
      <w:szCs w:val="28"/>
      <w:lang w:val="fr-FR"/>
    </w:rPr>
  </w:style>
  <w:style w:type="paragraph" w:styleId="Heading2">
    <w:name w:val="heading 2"/>
    <w:basedOn w:val="Normal"/>
    <w:next w:val="Normal"/>
    <w:link w:val="Heading2Char"/>
    <w:uiPriority w:val="9"/>
    <w:unhideWhenUsed/>
    <w:qFormat/>
    <w:rsid w:val="00FC693F"/>
    <w:pPr>
      <w:keepNext/>
      <w:keepLines/>
      <w:widowControl/>
      <w:spacing w:before="160" w:after="140" w:line="264" w:lineRule="auto"/>
      <w:outlineLvl w:val="1"/>
    </w:pPr>
    <w:rPr>
      <w:rFonts w:asciiTheme="majorHAnsi" w:eastAsiaTheme="majorEastAsia" w:hAnsiTheme="majorHAnsi" w:cstheme="majorBidi" w:ascii="Arial" w:hAnsi="Arial"/>
      <w:b/>
      <w:bCs/>
      <w:color w:val="000000"/>
      <w:sz w:val="26"/>
      <w:szCs w:val="26"/>
      <w:lang w:val="fr-FR"/>
    </w:rPr>
  </w:style>
  <w:style w:type="paragraph" w:styleId="Heading3">
    <w:name w:val="heading 3"/>
    <w:basedOn w:val="Normal"/>
    <w:next w:val="Normal"/>
    <w:link w:val="Heading3Char"/>
    <w:uiPriority w:val="9"/>
    <w:unhideWhenUsed/>
    <w:qFormat/>
    <w:rsid w:val="00FC693F"/>
    <w:pPr>
      <w:keepNext/>
      <w:keepLines/>
      <w:widowControl/>
      <w:spacing w:before="160" w:after="140" w:line="264" w:lineRule="auto"/>
      <w:outlineLvl w:val="2"/>
    </w:pPr>
    <w:rPr>
      <w:rFonts w:asciiTheme="majorHAnsi" w:eastAsiaTheme="majorEastAsia" w:hAnsiTheme="majorHAnsi" w:cstheme="majorBidi" w:ascii="Arial" w:hAnsi="Arial"/>
      <w:b/>
      <w:bCs/>
      <w:color w:val="000000"/>
      <w:sz w:val="24"/>
      <w:lang w:val="fr-F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Arial" w:hAnsi="Arial"/>
      <w:color w:val="000000"/>
      <w:spacing w:val="5"/>
      <w:kern w:val="28"/>
      <w:sz w:val="44"/>
      <w:szCs w:val="52"/>
      <w:lang w:val="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40" w:line="264" w:lineRule="auto"/>
    </w:pPr>
    <w:rPr>
      <w:rFonts w:asciiTheme="majorHAnsi" w:eastAsiaTheme="majorEastAsia" w:hAnsiTheme="majorHAnsi" w:cstheme="majorBidi" w:ascii="Arial" w:hAnsi="Arial"/>
      <w:i/>
      <w:iCs/>
      <w:color w:val="000000"/>
      <w:spacing w:val="15"/>
      <w:sz w:val="26"/>
      <w:szCs w:val="24"/>
      <w:lang w:val="fr-F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sciencesetavenir.fr/archeo-paleo/archeologie/la-mysterieuse-mort-d-alexandre-le-grand_140506" TargetMode="External"/><Relationship Id="rId13" Type="http://schemas.openxmlformats.org/officeDocument/2006/relationships/hyperlink" Target="https://www.lefigaro.fr/histoire/2018/11/29/26001-20181129ARTFIG00230-neron-a-t-il-incendie-rome.php" TargetMode="External"/><Relationship Id="rId14" Type="http://schemas.openxmlformats.org/officeDocument/2006/relationships/hyperlink" Target="https://folio.furman.edu/dramaturg/Plutarch/Plutarch_Alexander/pages/chunk_131.html" TargetMode="External"/><Relationship Id="rId15" Type="http://schemas.openxmlformats.org/officeDocument/2006/relationships/hyperlink" Target="https://www.greek-language.gr/digitalResources/ancient_greek/library/browse.html?page=164&amp;text_id=74" TargetMode="External"/><Relationship Id="rId16" Type="http://schemas.openxmlformats.org/officeDocument/2006/relationships/hyperlink" Target="https://dcc.dickinson.edu/tacitus-annals/15-38" TargetMode="External"/><Relationship Id="rId17" Type="http://schemas.openxmlformats.org/officeDocument/2006/relationships/hyperlink" Target="https://dcc.dickinson.edu/tacitus-annals/15-39" TargetMode="External"/><Relationship Id="rId18" Type="http://schemas.openxmlformats.org/officeDocument/2006/relationships/hyperlink" Target="https://bcs.fltr.ucl.ac.be/tac/annxv.html" TargetMode="External"/><Relationship Id="rId19" Type="http://schemas.openxmlformats.org/officeDocument/2006/relationships/hyperlink" Target="https://penelope.uchicago.edu/Thayer/L/Roman/Texts/Suetonius/12Caesars/Nero*.html" TargetMode="External"/><Relationship Id="rId20" Type="http://schemas.openxmlformats.org/officeDocument/2006/relationships/hyperlink" Target="https://folio.furman.edu/dramaturg/Plutarch/Plutarch_Alexander/pages/chunk_128.html" TargetMode="External"/><Relationship Id="rId21" Type="http://schemas.openxmlformats.org/officeDocument/2006/relationships/hyperlink" Target="https://folio.furman.edu/dramaturg/Plutarch/Plutarch_Alexander/pages/chunk_129.html" TargetMode="External"/><Relationship Id="rId22" Type="http://schemas.openxmlformats.org/officeDocument/2006/relationships/hyperlink" Target="https://bcs.fltr.ucl.ac.be/encyc-1/Plutarque.htm" TargetMode="External"/><Relationship Id="rId23" Type="http://schemas.openxmlformats.org/officeDocument/2006/relationships/hyperlink" Target="https://bcs.fltr.ucl.ac.be/ENCYC-1/Arrien.htm" TargetMode="External"/><Relationship Id="rId24" Type="http://schemas.openxmlformats.org/officeDocument/2006/relationships/hyperlink" Target="https://eduscol.education.gouv.fr/5793/programmes-et-ressources-en-francais-voie-gt" TargetMode="External"/><Relationship Id="rId25" Type="http://schemas.openxmlformats.org/officeDocument/2006/relationships/hyperlink" Target="https://eduscol.education.gouv.fr/media/84063/download?attachment=" TargetMode="External"/><Relationship Id="rId26" Type="http://schemas.openxmlformats.org/officeDocument/2006/relationships/hyperlink" Target="https://eduscol.education.gouv.fr/sites/default/files/document/ra19lyceegt2-1fraconditionnel-futurvaleurs-temporelles-modales1197119pdf-84060.pdf" TargetMode="External"/><Relationship Id="rId27" Type="http://schemas.openxmlformats.org/officeDocument/2006/relationships/hyperlink" Target="https://eduscol.education.gouv.fr/sites/default/files/document/guide-la-grammaire-du-francais-terminologie-grammaticale-67998.pdf" TargetMode="External"/><Relationship Id="rId28" Type="http://schemas.openxmlformats.org/officeDocument/2006/relationships/image" Target="media/image3.png"/><Relationship Id="rId29" Type="http://schemas.openxmlformats.org/officeDocument/2006/relationships/image" Target="media/image4.png"/><Relationship Id="rId30" Type="http://schemas.openxmlformats.org/officeDocument/2006/relationships/image" Target="media/image5.png"/><Relationship Id="rId31" Type="http://schemas.openxmlformats.org/officeDocument/2006/relationships/image" Target="media/image6.png"/><Relationship Id="rId32" Type="http://schemas.openxmlformats.org/officeDocument/2006/relationships/image" Target="media/image7.png"/><Relationship Id="rId33" Type="http://schemas.openxmlformats.org/officeDocument/2006/relationships/image" Target="media/image8.png"/><Relationship Id="rId34" Type="http://schemas.openxmlformats.org/officeDocument/2006/relationships/image" Target="media/image9.png"/><Relationship Id="rId35" Type="http://schemas.openxmlformats.org/officeDocument/2006/relationships/image" Target="media/image10.png"/><Relationship Id="rId36" Type="http://schemas.openxmlformats.org/officeDocument/2006/relationships/image" Target="media/image11.png"/><Relationship Id="rId37" Type="http://schemas.openxmlformats.org/officeDocument/2006/relationships/hyperlink" Target="https://penelope.uchicago.edu/Thayer/L/Roman/Texts/Curtius/10*.html" TargetMode="External"/><Relationship Id="rId38" Type="http://schemas.openxmlformats.org/officeDocument/2006/relationships/hyperlink" Target="https://www.thelatinlibrary.com/justin/12.html" TargetMode="External"/><Relationship Id="rId39" Type="http://schemas.openxmlformats.org/officeDocument/2006/relationships/hyperlink" Target="https://raw.githubusercontent.com/PerseusDL/canonical-latinLit/master/data/phi1351/phi005/phi1351.phi005.perseus-lat1.xml" TargetMode="External"/><Relationship Id="rId40" Type="http://schemas.openxmlformats.org/officeDocument/2006/relationships/hyperlink" Target="https://raw.githubusercontent.com/PerseusDL/canonical-latinLit/master/data/phi1348/abo016/phi1348.abo016.perseus-lat2.xml" TargetMode="External"/><Relationship Id="rId41" Type="http://schemas.openxmlformats.org/officeDocument/2006/relationships/hyperlink" Target="https://dcc.dickinson.edu/grammar/latin/declamatory-sentences-indirect-discourse" TargetMode="External"/><Relationship Id="rId42" Type="http://schemas.openxmlformats.org/officeDocument/2006/relationships/hyperlink" Target="https://dcc.dickinson.edu/grammar/latin/tenses-infinitive-indirect-discourse" TargetMode="External"/><Relationship Id="rId43" Type="http://schemas.openxmlformats.org/officeDocument/2006/relationships/hyperlink" Target="https://dcc.dickinson.edu/grammar/latin/indirect-question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Modalisation et paroles rapportées en latin Alexandre et Néron</dc:title>
  <dc:subject>Livret de latin pour le lycée avec textes originaux et réponses sur réglure Seyès</dc:subject>
  <dc:creator>Ludendo</dc:creator>
  <cp:keywords>latin, lycée, Alexandre, Néron, proposition infinitive, discours rapporté, modalisation</cp:keywords>
  <dc:description>generated by python-docx</dc:description>
  <cp:lastModifiedBy/>
  <cp:revision>1</cp:revision>
  <dcterms:created xsi:type="dcterms:W3CDTF">2013-12-23T23:15:00Z</dcterms:created>
  <dcterms:modified xsi:type="dcterms:W3CDTF">2013-12-23T23:15:00Z</dcterms:modified>
  <cp:category/>
</cp:coreProperties>
</file>