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On ne change pas en latin</w:t>
      </w:r>
    </w:p>
    <w:p>
      <w:pPr>
        <w:spacing w:after="140"/>
        <w:jc w:val="center"/>
      </w:pPr>
      <w:r>
        <w:rPr>
          <w:i/>
          <w:sz w:val="18"/>
        </w:rPr>
        <w:t>Non mutamur • Adaptation latine de la chanson interprétée par Céline Dion</w:t>
      </w:r>
    </w:p>
    <w:tbl>
      <w:tblPr>
        <w:tblW w:type="auto" w:w="0"/>
        <w:jc w:val="center"/>
        <w:tblLayout w:type="fixed"/>
        <w:tblLook w:firstColumn="1" w:firstRow="1" w:lastColumn="0" w:lastRow="0" w:noHBand="0" w:noVBand="1" w:val="04A0"/>
        <w:tblBorders>
          <w:top w:val="nil"/>
          <w:left w:val="nil"/>
          <w:bottom w:val="nil"/>
          <w:right w:val="nil"/>
          <w:insideH w:val="nil"/>
          <w:insideV w:val="single" w:sz="4" w:color="D9D9D9"/>
        </w:tblBorders>
        <w:tblCellMar>
          <w:top w:w="0" w:type="dxa"/>
          <w:bottom w:w="0" w:type="dxa"/>
          <w:left w:w="80" w:type="dxa"/>
          <w:right w:w="80" w:type="dxa"/>
        </w:tblCellMar>
      </w:tblPr>
      <w:tblGrid>
        <w:gridCol w:w="5472"/>
        <w:gridCol w:w="5472"/>
      </w:tblGrid>
      <w:tr>
        <w:trPr>
          <w:tblHeader/>
        </w:trPr>
        <w:tc>
          <w:tcPr>
            <w:tcW w:type="dxa" w:w="5472"/>
            <w:vAlign w:val="center"/>
          </w:tcPr>
          <w:p>
            <w:pPr>
              <w:spacing w:line="260" w:lineRule="exact" w:after="80"/>
            </w:pPr>
            <w:r>
              <w:rPr>
                <w:b/>
              </w:rPr>
              <w:t>Adaptation latine</w:t>
            </w:r>
          </w:p>
        </w:tc>
        <w:tc>
          <w:tcPr>
            <w:tcW w:type="dxa" w:w="5472"/>
            <w:vAlign w:val="center"/>
          </w:tcPr>
          <w:p>
            <w:pPr>
              <w:spacing w:line="260" w:lineRule="exact" w:after="80"/>
            </w:pPr>
            <w:r>
              <w:rPr>
                <w:b/>
              </w:rPr>
              <w:t>Paroles françaises</w:t>
            </w:r>
          </w:p>
        </w:tc>
      </w:tr>
      <w:tr>
        <w:trPr>
          <w:cantSplit/>
        </w:trPr>
        <w:tc>
          <w:tcPr>
            <w:tcW w:type="dxa" w:w="5472"/>
            <w:vAlign w:val="top"/>
          </w:tcPr>
          <w:p>
            <w:pPr>
              <w:spacing w:before="0"/>
            </w:pPr>
            <w:commentRangeStart w:id="0"/>
            <w:r>
              <w:rPr>
                <w:b/>
                <w:i/>
                <w:color w:val="245E6F"/>
                <w:lang w:val="la"/>
              </w:rPr>
              <w:t>Non mutamur.</w:t>
            </w:r>
            <w:commentRangeEnd w:id="0"/>
            <w:r>
              <w:rPr>
                <w:rStyle w:val="CommentReference"/>
              </w:rPr>
              <w:commentReference w:id="0"/>
            </w:r>
          </w:p>
        </w:tc>
        <w:tc>
          <w:tcPr>
            <w:tcW w:type="dxa" w:w="5472"/>
            <w:vAlign w:val="top"/>
          </w:tcPr>
          <w:p>
            <w:pPr>
              <w:spacing w:before="0"/>
            </w:pPr>
            <w:r>
              <w:rPr>
                <w:lang w:val="fr-FR"/>
              </w:rPr>
              <w:t>On ne change pas</w:t>
            </w:r>
          </w:p>
        </w:tc>
      </w:tr>
      <w:tr>
        <w:trPr>
          <w:cantSplit/>
        </w:trPr>
        <w:tc>
          <w:tcPr>
            <w:tcW w:type="dxa" w:w="5472"/>
            <w:vAlign w:val="top"/>
          </w:tcPr>
          <w:p>
            <w:pPr>
              <w:spacing w:before="0"/>
            </w:pPr>
            <w:commentRangeStart w:id="1"/>
            <w:r>
              <w:rPr>
                <w:i/>
                <w:color w:val="245E6F"/>
                <w:lang w:val="la"/>
              </w:rPr>
              <w:t>Alienas tantum vestes induimus.</w:t>
            </w:r>
            <w:commentRangeEnd w:id="1"/>
            <w:r>
              <w:rPr>
                <w:rStyle w:val="CommentReference"/>
              </w:rPr>
              <w:commentReference w:id="1"/>
            </w:r>
          </w:p>
        </w:tc>
        <w:tc>
          <w:tcPr>
            <w:tcW w:type="dxa" w:w="5472"/>
            <w:vAlign w:val="top"/>
          </w:tcPr>
          <w:p>
            <w:pPr>
              <w:spacing w:before="0"/>
            </w:pPr>
            <w:r>
              <w:rPr>
                <w:lang w:val="fr-FR"/>
              </w:rPr>
              <w:t>On met juste les costumes d'autres sur soi</w:t>
            </w:r>
          </w:p>
        </w:tc>
      </w:tr>
      <w:tr>
        <w:trPr>
          <w:cantSplit/>
        </w:trPr>
        <w:tc>
          <w:tcPr>
            <w:tcW w:type="dxa" w:w="5472"/>
            <w:vAlign w:val="top"/>
          </w:tcPr>
          <w:p>
            <w:pPr>
              <w:spacing w:before="0"/>
            </w:pPr>
            <w:r>
              <w:rPr>
                <w:b/>
                <w:i/>
                <w:color w:val="245E6F"/>
                <w:lang w:val="la"/>
              </w:rPr>
              <w:t>Non mutamur.</w:t>
            </w:r>
          </w:p>
        </w:tc>
        <w:tc>
          <w:tcPr>
            <w:tcW w:type="dxa" w:w="5472"/>
            <w:vAlign w:val="top"/>
          </w:tcPr>
          <w:p>
            <w:pPr>
              <w:spacing w:before="0"/>
            </w:pPr>
            <w:r>
              <w:rPr>
                <w:lang w:val="fr-FR"/>
              </w:rPr>
              <w:t>On ne change pas</w:t>
            </w:r>
          </w:p>
        </w:tc>
      </w:tr>
      <w:tr>
        <w:trPr>
          <w:cantSplit/>
        </w:trPr>
        <w:tc>
          <w:tcPr>
            <w:tcW w:type="dxa" w:w="5472"/>
            <w:vAlign w:val="top"/>
          </w:tcPr>
          <w:p>
            <w:pPr>
              <w:spacing w:before="0"/>
            </w:pPr>
            <w:commentRangeStart w:id="2"/>
            <w:r>
              <w:rPr>
                <w:i/>
                <w:color w:val="245E6F"/>
                <w:lang w:val="la"/>
              </w:rPr>
              <w:t>Vestis parvam tantum partem eorum quae videmus celat.</w:t>
            </w:r>
            <w:commentRangeEnd w:id="2"/>
            <w:r>
              <w:rPr>
                <w:rStyle w:val="CommentReference"/>
              </w:rPr>
              <w:commentReference w:id="2"/>
            </w:r>
          </w:p>
        </w:tc>
        <w:tc>
          <w:tcPr>
            <w:tcW w:type="dxa" w:w="5472"/>
            <w:vAlign w:val="top"/>
          </w:tcPr>
          <w:p>
            <w:pPr>
              <w:spacing w:before="0"/>
            </w:pPr>
            <w:r>
              <w:rPr>
                <w:lang w:val="fr-FR"/>
              </w:rPr>
              <w:t>Une veste ne cache qu'un peu de ce qu'on voit</w:t>
            </w:r>
          </w:p>
        </w:tc>
      </w:tr>
      <w:tr>
        <w:trPr>
          <w:cantSplit/>
        </w:trPr>
        <w:tc>
          <w:tcPr>
            <w:tcW w:type="dxa" w:w="5472"/>
            <w:vAlign w:val="top"/>
          </w:tcPr>
          <w:p>
            <w:pPr>
              <w:spacing w:before="0"/>
            </w:pPr>
            <w:commentRangeStart w:id="3"/>
            <w:r>
              <w:rPr>
                <w:i/>
                <w:color w:val="245E6F"/>
                <w:lang w:val="la"/>
              </w:rPr>
              <w:t>Non maturiores fimus.</w:t>
            </w:r>
            <w:commentRangeEnd w:id="3"/>
            <w:r>
              <w:rPr>
                <w:rStyle w:val="CommentReference"/>
              </w:rPr>
              <w:commentReference w:id="3"/>
            </w:r>
          </w:p>
        </w:tc>
        <w:tc>
          <w:tcPr>
            <w:tcW w:type="dxa" w:w="5472"/>
            <w:vAlign w:val="top"/>
          </w:tcPr>
          <w:p>
            <w:pPr>
              <w:spacing w:before="0"/>
            </w:pPr>
            <w:r>
              <w:rPr>
                <w:lang w:val="fr-FR"/>
              </w:rPr>
              <w:t>On ne grandit pas</w:t>
            </w:r>
          </w:p>
        </w:tc>
      </w:tr>
      <w:tr>
        <w:trPr>
          <w:cantSplit/>
        </w:trPr>
        <w:tc>
          <w:tcPr>
            <w:tcW w:type="dxa" w:w="5472"/>
            <w:vAlign w:val="top"/>
          </w:tcPr>
          <w:p>
            <w:pPr>
              <w:spacing w:before="0"/>
            </w:pPr>
            <w:commentRangeStart w:id="4"/>
            <w:r>
              <w:rPr>
                <w:i/>
                <w:color w:val="245E6F"/>
                <w:lang w:val="la"/>
              </w:rPr>
              <w:t>Paulum crescimus, tantisper dum somnium aut visum durat,</w:t>
            </w:r>
            <w:commentRangeEnd w:id="4"/>
            <w:r>
              <w:rPr>
                <w:rStyle w:val="CommentReference"/>
              </w:rPr>
              <w:commentReference w:id="4"/>
            </w:r>
          </w:p>
        </w:tc>
        <w:tc>
          <w:tcPr>
            <w:tcW w:type="dxa" w:w="5472"/>
            <w:vAlign w:val="top"/>
          </w:tcPr>
          <w:p>
            <w:pPr>
              <w:spacing w:before="0"/>
            </w:pPr>
            <w:r>
              <w:rPr>
                <w:lang w:val="fr-FR"/>
              </w:rPr>
              <w:t>On pousse un peu, tout juste le temps d'un rêve, d'un songe</w:t>
            </w:r>
          </w:p>
        </w:tc>
      </w:tr>
      <w:tr>
        <w:trPr>
          <w:cantSplit/>
        </w:trPr>
        <w:tc>
          <w:tcPr>
            <w:tcW w:type="dxa" w:w="5472"/>
            <w:vAlign w:val="top"/>
          </w:tcPr>
          <w:p>
            <w:pPr>
              <w:spacing w:before="0"/>
            </w:pPr>
            <w:commentRangeStart w:id="5"/>
            <w:r>
              <w:rPr>
                <w:i/>
                <w:color w:val="245E6F"/>
                <w:lang w:val="la"/>
              </w:rPr>
              <w:t>ut ea digito tangamus.</w:t>
            </w:r>
            <w:commentRangeEnd w:id="5"/>
            <w:r>
              <w:rPr>
                <w:rStyle w:val="CommentReference"/>
              </w:rPr>
              <w:commentReference w:id="5"/>
            </w:r>
          </w:p>
        </w:tc>
        <w:tc>
          <w:tcPr>
            <w:tcW w:type="dxa" w:w="5472"/>
            <w:vAlign w:val="top"/>
          </w:tcPr>
          <w:p>
            <w:pPr>
              <w:spacing w:before="0"/>
            </w:pPr>
            <w:r>
              <w:rPr>
                <w:lang w:val="fr-FR"/>
              </w:rPr>
              <w:t>Et les toucher du doigt</w:t>
            </w:r>
          </w:p>
        </w:tc>
      </w:tr>
      <w:tr>
        <w:trPr>
          <w:cantSplit/>
        </w:trPr>
        <w:tc>
          <w:tcPr>
            <w:tcW w:type="dxa" w:w="5472"/>
            <w:vAlign w:val="top"/>
          </w:tcPr>
          <w:p>
            <w:pPr>
              <w:spacing w:before="0"/>
            </w:pPr>
            <w:r>
              <w:rPr>
                <w:i/>
                <w:color w:val="245E6F"/>
                <w:lang w:val="la"/>
              </w:rPr>
              <w:t>Sed non obliviscimur</w:t>
            </w:r>
          </w:p>
        </w:tc>
        <w:tc>
          <w:tcPr>
            <w:tcW w:type="dxa" w:w="5472"/>
            <w:vAlign w:val="top"/>
          </w:tcPr>
          <w:p>
            <w:pPr>
              <w:spacing w:before="0"/>
            </w:pPr>
            <w:r>
              <w:rPr>
                <w:lang w:val="fr-FR"/>
              </w:rPr>
              <w:t>Mais on n'oublie pas</w:t>
            </w:r>
          </w:p>
        </w:tc>
      </w:tr>
      <w:tr>
        <w:trPr>
          <w:cantSplit/>
        </w:trPr>
        <w:tc>
          <w:tcPr>
            <w:tcW w:type="dxa" w:w="5472"/>
            <w:vAlign w:val="top"/>
          </w:tcPr>
          <w:p>
            <w:pPr>
              <w:spacing w:before="0"/>
            </w:pPr>
            <w:commentRangeStart w:id="6"/>
            <w:r>
              <w:rPr>
                <w:i/>
                <w:color w:val="245E6F"/>
                <w:lang w:val="la"/>
              </w:rPr>
              <w:t>pueri, qui manet paene nudus,</w:t>
            </w:r>
            <w:commentRangeEnd w:id="6"/>
            <w:r>
              <w:rPr>
                <w:rStyle w:val="CommentReference"/>
              </w:rPr>
              <w:commentReference w:id="6"/>
            </w:r>
          </w:p>
        </w:tc>
        <w:tc>
          <w:tcPr>
            <w:tcW w:type="dxa" w:w="5472"/>
            <w:vAlign w:val="top"/>
          </w:tcPr>
          <w:p>
            <w:pPr>
              <w:spacing w:before="0"/>
            </w:pPr>
            <w:r>
              <w:rPr>
                <w:lang w:val="fr-FR"/>
              </w:rPr>
              <w:t>L'enfant qui reste, presque nu</w:t>
            </w:r>
          </w:p>
        </w:tc>
      </w:tr>
      <w:tr>
        <w:trPr>
          <w:cantSplit/>
        </w:trPr>
        <w:tc>
          <w:tcPr>
            <w:tcW w:type="dxa" w:w="5472"/>
            <w:vAlign w:val="top"/>
          </w:tcPr>
          <w:p>
            <w:pPr>
              <w:spacing w:before="0"/>
            </w:pPr>
            <w:r>
              <w:rPr>
                <w:i/>
                <w:color w:val="245E6F"/>
                <w:lang w:val="la"/>
              </w:rPr>
              <w:t>et momentorum innocentiae,</w:t>
            </w:r>
          </w:p>
        </w:tc>
        <w:tc>
          <w:tcPr>
            <w:tcW w:type="dxa" w:w="5472"/>
            <w:vAlign w:val="top"/>
          </w:tcPr>
          <w:p>
            <w:pPr>
              <w:spacing w:before="0"/>
            </w:pPr>
            <w:r>
              <w:rPr>
                <w:lang w:val="fr-FR"/>
              </w:rPr>
              <w:t>Les instants d'innocence</w:t>
            </w:r>
          </w:p>
        </w:tc>
      </w:tr>
      <w:tr>
        <w:trPr>
          <w:cantSplit/>
        </w:trPr>
        <w:tc>
          <w:tcPr>
            <w:tcW w:type="dxa" w:w="5472"/>
            <w:vAlign w:val="top"/>
          </w:tcPr>
          <w:p>
            <w:pPr>
              <w:spacing w:before="0"/>
            </w:pPr>
            <w:r>
              <w:rPr>
                <w:i/>
                <w:color w:val="245E6F"/>
                <w:lang w:val="la"/>
              </w:rPr>
              <w:t>cum nesciebamus.</w:t>
            </w:r>
          </w:p>
        </w:tc>
        <w:tc>
          <w:tcPr>
            <w:tcW w:type="dxa" w:w="5472"/>
            <w:vAlign w:val="top"/>
          </w:tcPr>
          <w:p>
            <w:pPr>
              <w:spacing w:before="0"/>
            </w:pPr>
            <w:r>
              <w:rPr>
                <w:lang w:val="fr-FR"/>
              </w:rPr>
              <w:t>Quand on ne savait pas</w:t>
            </w:r>
          </w:p>
        </w:tc>
      </w:tr>
      <w:tr>
        <w:trPr>
          <w:cantSplit/>
        </w:trPr>
        <w:tc>
          <w:tcPr>
            <w:tcW w:type="dxa" w:w="5472"/>
            <w:vAlign w:val="top"/>
          </w:tcPr>
          <w:p>
            <w:pPr>
              <w:spacing w:before="60"/>
            </w:pPr>
            <w:r>
              <w:rPr>
                <w:b/>
                <w:i/>
                <w:color w:val="245E6F"/>
                <w:lang w:val="la"/>
              </w:rPr>
              <w:t>Non mutamur.</w:t>
            </w:r>
          </w:p>
        </w:tc>
        <w:tc>
          <w:tcPr>
            <w:tcW w:type="dxa" w:w="5472"/>
            <w:vAlign w:val="top"/>
          </w:tcPr>
          <w:p>
            <w:pPr>
              <w:spacing w:before="60"/>
            </w:pPr>
            <w:r>
              <w:rPr>
                <w:lang w:val="fr-FR"/>
              </w:rPr>
              <w:t>On ne change pas</w:t>
            </w:r>
          </w:p>
        </w:tc>
      </w:tr>
      <w:tr>
        <w:trPr>
          <w:cantSplit/>
        </w:trPr>
        <w:tc>
          <w:tcPr>
            <w:tcW w:type="dxa" w:w="5472"/>
            <w:vAlign w:val="top"/>
          </w:tcPr>
          <w:p>
            <w:pPr>
              <w:spacing w:before="0"/>
            </w:pPr>
            <w:r>
              <w:rPr>
                <w:i/>
                <w:color w:val="245E6F"/>
                <w:lang w:val="la"/>
              </w:rPr>
              <w:t>Vultus habitusque pugnaces sumimus.</w:t>
            </w:r>
          </w:p>
        </w:tc>
        <w:tc>
          <w:tcPr>
            <w:tcW w:type="dxa" w:w="5472"/>
            <w:vAlign w:val="top"/>
          </w:tcPr>
          <w:p>
            <w:pPr>
              <w:spacing w:before="0"/>
            </w:pPr>
            <w:r>
              <w:rPr>
                <w:lang w:val="fr-FR"/>
              </w:rPr>
              <w:t>On attrape des airs et des poses de combat</w:t>
            </w:r>
          </w:p>
        </w:tc>
      </w:tr>
      <w:tr>
        <w:trPr>
          <w:cantSplit/>
        </w:trPr>
        <w:tc>
          <w:tcPr>
            <w:tcW w:type="dxa" w:w="5472"/>
            <w:vAlign w:val="top"/>
          </w:tcPr>
          <w:p>
            <w:pPr>
              <w:spacing w:before="0"/>
            </w:pPr>
            <w:r>
              <w:rPr>
                <w:b/>
                <w:i/>
                <w:color w:val="245E6F"/>
                <w:lang w:val="la"/>
              </w:rPr>
              <w:t>Non mutamur.</w:t>
            </w:r>
          </w:p>
        </w:tc>
        <w:tc>
          <w:tcPr>
            <w:tcW w:type="dxa" w:w="5472"/>
            <w:vAlign w:val="top"/>
          </w:tcPr>
          <w:p>
            <w:pPr>
              <w:spacing w:before="0"/>
            </w:pPr>
            <w:r>
              <w:rPr>
                <w:lang w:val="fr-FR"/>
              </w:rPr>
              <w:t>On ne change pas</w:t>
            </w:r>
          </w:p>
        </w:tc>
      </w:tr>
      <w:tr>
        <w:trPr>
          <w:cantSplit/>
        </w:trPr>
        <w:tc>
          <w:tcPr>
            <w:tcW w:type="dxa" w:w="5472"/>
            <w:vAlign w:val="top"/>
          </w:tcPr>
          <w:p>
            <w:pPr>
              <w:spacing w:before="0"/>
            </w:pPr>
            <w:commentRangeStart w:id="7"/>
            <w:r>
              <w:rPr>
                <w:i/>
                <w:color w:val="245E6F"/>
                <w:lang w:val="la"/>
              </w:rPr>
              <w:t>Nos ipsos fallimus; nos eligere credimus.</w:t>
            </w:r>
            <w:commentRangeEnd w:id="7"/>
            <w:r>
              <w:rPr>
                <w:rStyle w:val="CommentReference"/>
              </w:rPr>
              <w:commentReference w:id="7"/>
            </w:r>
          </w:p>
        </w:tc>
        <w:tc>
          <w:tcPr>
            <w:tcW w:type="dxa" w:w="5472"/>
            <w:vAlign w:val="top"/>
          </w:tcPr>
          <w:p>
            <w:pPr>
              <w:spacing w:before="0"/>
            </w:pPr>
            <w:r>
              <w:rPr>
                <w:lang w:val="fr-FR"/>
              </w:rPr>
              <w:t>On se donne le change, on croit que l'on fait des choix</w:t>
            </w:r>
          </w:p>
        </w:tc>
      </w:tr>
      <w:tr>
        <w:trPr>
          <w:cantSplit/>
        </w:trPr>
        <w:tc>
          <w:tcPr>
            <w:tcW w:type="dxa" w:w="5472"/>
            <w:vAlign w:val="top"/>
          </w:tcPr>
          <w:p>
            <w:pPr>
              <w:spacing w:before="0"/>
            </w:pPr>
            <w:r>
              <w:rPr>
                <w:i/>
                <w:color w:val="245E6F"/>
                <w:lang w:val="la"/>
              </w:rPr>
              <w:t>Sed si ibi superficiem radis,</w:t>
            </w:r>
          </w:p>
        </w:tc>
        <w:tc>
          <w:tcPr>
            <w:tcW w:type="dxa" w:w="5472"/>
            <w:vAlign w:val="top"/>
          </w:tcPr>
          <w:p>
            <w:pPr>
              <w:spacing w:before="0"/>
            </w:pPr>
            <w:r>
              <w:rPr>
                <w:lang w:val="fr-FR"/>
              </w:rPr>
              <w:t>Mais si tu grattes là</w:t>
            </w:r>
          </w:p>
        </w:tc>
      </w:tr>
      <w:tr>
        <w:trPr>
          <w:cantSplit/>
        </w:trPr>
        <w:tc>
          <w:tcPr>
            <w:tcW w:type="dxa" w:w="5472"/>
            <w:vAlign w:val="top"/>
          </w:tcPr>
          <w:p>
            <w:pPr>
              <w:spacing w:before="0"/>
            </w:pPr>
            <w:commentRangeStart w:id="8"/>
            <w:r>
              <w:rPr>
                <w:i/>
                <w:color w:val="245E6F"/>
                <w:lang w:val="la"/>
              </w:rPr>
              <w:t>sub ipsa specie tremit puer parvus, nobis similis.</w:t>
            </w:r>
            <w:commentRangeEnd w:id="8"/>
            <w:r>
              <w:rPr>
                <w:rStyle w:val="CommentReference"/>
              </w:rPr>
              <w:commentReference w:id="8"/>
            </w:r>
          </w:p>
        </w:tc>
        <w:tc>
          <w:tcPr>
            <w:tcW w:type="dxa" w:w="5472"/>
            <w:vAlign w:val="top"/>
          </w:tcPr>
          <w:p>
            <w:pPr>
              <w:spacing w:before="0"/>
            </w:pPr>
            <w:r>
              <w:rPr>
                <w:lang w:val="fr-FR"/>
              </w:rPr>
              <w:t>Tout près de l'apparence tremble un petit qui nous ressemble</w:t>
            </w:r>
          </w:p>
        </w:tc>
      </w:tr>
      <w:tr>
        <w:trPr>
          <w:cantSplit/>
        </w:trPr>
        <w:tc>
          <w:tcPr>
            <w:tcW w:type="dxa" w:w="5472"/>
            <w:vAlign w:val="top"/>
          </w:tcPr>
          <w:p>
            <w:pPr>
              <w:spacing w:before="0"/>
            </w:pPr>
            <w:r>
              <w:rPr>
                <w:i/>
                <w:color w:val="245E6F"/>
                <w:lang w:val="la"/>
              </w:rPr>
              <w:t>Eum ibi esse bene scimus.</w:t>
            </w:r>
          </w:p>
        </w:tc>
        <w:tc>
          <w:tcPr>
            <w:tcW w:type="dxa" w:w="5472"/>
            <w:vAlign w:val="top"/>
          </w:tcPr>
          <w:p>
            <w:pPr>
              <w:spacing w:before="0"/>
            </w:pPr>
            <w:r>
              <w:rPr>
                <w:lang w:val="fr-FR"/>
              </w:rPr>
              <w:t>On sait bien qu'il est là</w:t>
            </w:r>
          </w:p>
        </w:tc>
      </w:tr>
      <w:tr>
        <w:trPr>
          <w:cantSplit/>
        </w:trPr>
        <w:tc>
          <w:tcPr>
            <w:tcW w:type="dxa" w:w="5472"/>
            <w:vAlign w:val="top"/>
          </w:tcPr>
          <w:p>
            <w:pPr>
              <w:spacing w:before="0"/>
            </w:pPr>
            <w:r>
              <w:rPr>
                <w:i/>
                <w:color w:val="245E6F"/>
                <w:lang w:val="la"/>
              </w:rPr>
              <w:t>Interdum audimus</w:t>
            </w:r>
          </w:p>
        </w:tc>
        <w:tc>
          <w:tcPr>
            <w:tcW w:type="dxa" w:w="5472"/>
            <w:vAlign w:val="top"/>
          </w:tcPr>
          <w:p>
            <w:pPr>
              <w:spacing w:before="0"/>
            </w:pPr>
            <w:r>
              <w:rPr>
                <w:lang w:val="fr-FR"/>
              </w:rPr>
              <w:t>On l'entend parfois</w:t>
            </w:r>
          </w:p>
        </w:tc>
      </w:tr>
      <w:tr>
        <w:trPr>
          <w:cantSplit/>
        </w:trPr>
        <w:tc>
          <w:tcPr>
            <w:tcW w:type="dxa" w:w="5472"/>
            <w:vAlign w:val="top"/>
          </w:tcPr>
          <w:p>
            <w:pPr>
              <w:spacing w:before="0"/>
            </w:pPr>
            <w:commentRangeStart w:id="9"/>
            <w:r>
              <w:rPr>
                <w:i/>
                <w:color w:val="245E6F"/>
                <w:lang w:val="la"/>
              </w:rPr>
              <w:t>cantilenam eius protervam, quae pertinaciter repetit:</w:t>
            </w:r>
            <w:commentRangeEnd w:id="9"/>
            <w:r>
              <w:rPr>
                <w:rStyle w:val="CommentReference"/>
              </w:rPr>
              <w:commentReference w:id="9"/>
            </w:r>
          </w:p>
        </w:tc>
        <w:tc>
          <w:tcPr>
            <w:tcW w:type="dxa" w:w="5472"/>
            <w:vAlign w:val="top"/>
          </w:tcPr>
          <w:p>
            <w:pPr>
              <w:spacing w:before="0"/>
            </w:pPr>
            <w:r>
              <w:rPr>
                <w:lang w:val="fr-FR"/>
              </w:rPr>
              <w:t>Sa rengaine insolente qui s'entête et qui répète</w:t>
            </w:r>
          </w:p>
        </w:tc>
      </w:tr>
      <w:tr>
        <w:trPr>
          <w:cantSplit/>
        </w:trPr>
        <w:tc>
          <w:tcPr>
            <w:tcW w:type="dxa" w:w="5472"/>
            <w:vAlign w:val="top"/>
          </w:tcPr>
          <w:p>
            <w:pPr>
              <w:spacing w:before="0"/>
            </w:pPr>
            <w:commentRangeStart w:id="10"/>
            <w:r>
              <w:rPr>
                <w:i/>
                <w:color w:val="245E6F"/>
                <w:lang w:val="la"/>
              </w:rPr>
              <w:t>« O, noli me relinquere! »</w:t>
            </w:r>
            <w:commentRangeEnd w:id="10"/>
            <w:r>
              <w:rPr>
                <w:rStyle w:val="CommentReference"/>
              </w:rPr>
              <w:commentReference w:id="10"/>
            </w:r>
          </w:p>
        </w:tc>
        <w:tc>
          <w:tcPr>
            <w:tcW w:type="dxa" w:w="5472"/>
            <w:vAlign w:val="top"/>
          </w:tcPr>
          <w:p>
            <w:pPr>
              <w:spacing w:before="0"/>
            </w:pPr>
            <w:r>
              <w:rPr>
                <w:lang w:val="fr-FR"/>
              </w:rPr>
              <w:t>Oh ne me quitte pas</w:t>
            </w:r>
          </w:p>
        </w:tc>
      </w:tr>
      <w:tr>
        <w:trPr>
          <w:cantSplit/>
        </w:trPr>
        <w:tc>
          <w:tcPr>
            <w:tcW w:type="dxa" w:w="5472"/>
            <w:vAlign w:val="top"/>
          </w:tcPr>
          <w:p>
            <w:pPr>
              <w:spacing w:before="60"/>
            </w:pPr>
            <w:r>
              <w:rPr>
                <w:i/>
                <w:color w:val="245E6F"/>
                <w:lang w:val="la"/>
              </w:rPr>
              <w:t>Numquam obliviscimur.</w:t>
            </w:r>
          </w:p>
        </w:tc>
        <w:tc>
          <w:tcPr>
            <w:tcW w:type="dxa" w:w="5472"/>
            <w:vAlign w:val="top"/>
          </w:tcPr>
          <w:p>
            <w:pPr>
              <w:spacing w:before="60"/>
            </w:pPr>
            <w:r>
              <w:rPr>
                <w:lang w:val="fr-FR"/>
              </w:rPr>
              <w:t>On n'oublie jamais</w:t>
            </w:r>
          </w:p>
        </w:tc>
      </w:tr>
      <w:tr>
        <w:trPr>
          <w:cantSplit/>
        </w:trPr>
        <w:tc>
          <w:tcPr>
            <w:tcW w:type="dxa" w:w="5472"/>
            <w:vAlign w:val="top"/>
          </w:tcPr>
          <w:p>
            <w:pPr>
              <w:spacing w:before="0"/>
            </w:pPr>
            <w:commentRangeStart w:id="11"/>
            <w:r>
              <w:rPr>
                <w:i/>
                <w:color w:val="245E6F"/>
                <w:lang w:val="la"/>
              </w:rPr>
              <w:t>Semper aliquis gestus prodit qui simus:</w:t>
            </w:r>
            <w:commentRangeEnd w:id="11"/>
            <w:r>
              <w:rPr>
                <w:rStyle w:val="CommentReference"/>
              </w:rPr>
              <w:commentReference w:id="11"/>
            </w:r>
          </w:p>
        </w:tc>
        <w:tc>
          <w:tcPr>
            <w:tcW w:type="dxa" w:w="5472"/>
            <w:vAlign w:val="top"/>
          </w:tcPr>
          <w:p>
            <w:pPr>
              <w:spacing w:before="0"/>
            </w:pPr>
            <w:r>
              <w:rPr>
                <w:lang w:val="fr-FR"/>
              </w:rPr>
              <w:t>On a toujours un geste qui trahit qui l'on est</w:t>
            </w:r>
          </w:p>
        </w:tc>
      </w:tr>
      <w:tr>
        <w:trPr>
          <w:cantSplit/>
        </w:trPr>
        <w:tc>
          <w:tcPr>
            <w:tcW w:type="dxa" w:w="5472"/>
            <w:vAlign w:val="top"/>
          </w:tcPr>
          <w:p>
            <w:pPr>
              <w:spacing w:before="0"/>
            </w:pPr>
            <w:commentRangeStart w:id="12"/>
            <w:r>
              <w:rPr>
                <w:i/>
                <w:color w:val="245E6F"/>
                <w:lang w:val="la"/>
              </w:rPr>
              <w:t>principes an famuli.</w:t>
            </w:r>
            <w:commentRangeEnd w:id="12"/>
            <w:r>
              <w:rPr>
                <w:rStyle w:val="CommentReference"/>
              </w:rPr>
              <w:commentReference w:id="12"/>
            </w:r>
          </w:p>
        </w:tc>
        <w:tc>
          <w:tcPr>
            <w:tcW w:type="dxa" w:w="5472"/>
            <w:vAlign w:val="top"/>
          </w:tcPr>
          <w:p>
            <w:pPr>
              <w:spacing w:before="0"/>
            </w:pPr>
            <w:r>
              <w:rPr>
                <w:lang w:val="fr-FR"/>
              </w:rPr>
              <w:t>Un prince, un valet</w:t>
            </w:r>
          </w:p>
        </w:tc>
      </w:tr>
      <w:tr>
        <w:trPr>
          <w:cantSplit/>
        </w:trPr>
        <w:tc>
          <w:tcPr>
            <w:tcW w:type="dxa" w:w="5472"/>
            <w:vAlign w:val="top"/>
          </w:tcPr>
          <w:p>
            <w:pPr>
              <w:spacing w:before="0"/>
            </w:pPr>
            <w:r>
              <w:rPr>
                <w:i/>
                <w:color w:val="245E6F"/>
                <w:lang w:val="la"/>
              </w:rPr>
              <w:t>Sub corona apparent obtutus, superbia, nota</w:t>
            </w:r>
          </w:p>
        </w:tc>
        <w:tc>
          <w:tcPr>
            <w:tcW w:type="dxa" w:w="5472"/>
            <w:vAlign w:val="top"/>
          </w:tcPr>
          <w:p>
            <w:pPr>
              <w:spacing w:before="0"/>
            </w:pPr>
            <w:r>
              <w:rPr>
                <w:lang w:val="fr-FR"/>
              </w:rPr>
              <w:t>Sous la couronne un regard une arrogance, un trait</w:t>
            </w:r>
          </w:p>
        </w:tc>
      </w:tr>
      <w:tr>
        <w:trPr>
          <w:cantSplit/>
        </w:trPr>
        <w:tc>
          <w:tcPr>
            <w:tcW w:type="dxa" w:w="5472"/>
            <w:vAlign w:val="top"/>
          </w:tcPr>
          <w:p>
            <w:pPr>
              <w:spacing w:before="0"/>
            </w:pPr>
            <w:r>
              <w:rPr>
                <w:i/>
                <w:color w:val="245E6F"/>
                <w:lang w:val="la"/>
              </w:rPr>
              <w:t>principis aut famuli.</w:t>
            </w:r>
          </w:p>
        </w:tc>
        <w:tc>
          <w:tcPr>
            <w:tcW w:type="dxa" w:w="5472"/>
            <w:vAlign w:val="top"/>
          </w:tcPr>
          <w:p>
            <w:pPr>
              <w:spacing w:before="0"/>
            </w:pPr>
            <w:r>
              <w:rPr>
                <w:lang w:val="fr-FR"/>
              </w:rPr>
              <w:t>D'un prince ou d'un valet</w:t>
            </w:r>
          </w:p>
        </w:tc>
      </w:tr>
      <w:tr>
        <w:trPr>
          <w:cantSplit/>
        </w:trPr>
        <w:tc>
          <w:tcPr>
            <w:tcW w:type="dxa" w:w="5472"/>
            <w:vAlign w:val="top"/>
          </w:tcPr>
          <w:p>
            <w:pPr>
              <w:spacing w:before="60"/>
            </w:pPr>
            <w:r>
              <w:rPr>
                <w:i/>
                <w:color w:val="245E6F"/>
                <w:lang w:val="la"/>
              </w:rPr>
              <w:t>Hoc tam bene scio.</w:t>
            </w:r>
          </w:p>
        </w:tc>
        <w:tc>
          <w:tcPr>
            <w:tcW w:type="dxa" w:w="5472"/>
            <w:vAlign w:val="top"/>
          </w:tcPr>
          <w:p>
            <w:pPr>
              <w:spacing w:before="60"/>
            </w:pPr>
            <w:r>
              <w:rPr>
                <w:lang w:val="fr-FR"/>
              </w:rPr>
              <w:t>Je sais tellement ça</w:t>
            </w:r>
          </w:p>
        </w:tc>
      </w:tr>
      <w:tr>
        <w:trPr>
          <w:cantSplit/>
        </w:trPr>
        <w:tc>
          <w:tcPr>
            <w:tcW w:type="dxa" w:w="5472"/>
            <w:vAlign w:val="top"/>
          </w:tcPr>
          <w:p>
            <w:pPr>
              <w:spacing w:before="0"/>
            </w:pPr>
            <w:commentRangeStart w:id="13"/>
            <w:r>
              <w:rPr>
                <w:i/>
                <w:color w:val="245E6F"/>
                <w:lang w:val="la"/>
              </w:rPr>
              <w:t>Imagines somniaque quae animo habebam imitata sum,</w:t>
            </w:r>
            <w:commentRangeEnd w:id="13"/>
            <w:r>
              <w:rPr>
                <w:rStyle w:val="CommentReference"/>
              </w:rPr>
              <w:commentReference w:id="13"/>
            </w:r>
          </w:p>
        </w:tc>
        <w:tc>
          <w:tcPr>
            <w:tcW w:type="dxa" w:w="5472"/>
            <w:vAlign w:val="top"/>
          </w:tcPr>
          <w:p>
            <w:pPr>
              <w:spacing w:before="0"/>
            </w:pPr>
            <w:r>
              <w:rPr>
                <w:lang w:val="fr-FR"/>
              </w:rPr>
              <w:t>J'ai copié des images et des rêves que j'avais</w:t>
            </w:r>
          </w:p>
        </w:tc>
      </w:tr>
      <w:tr>
        <w:trPr>
          <w:cantSplit/>
        </w:trPr>
        <w:tc>
          <w:tcPr>
            <w:tcW w:type="dxa" w:w="5472"/>
            <w:vAlign w:val="top"/>
          </w:tcPr>
          <w:p>
            <w:pPr>
              <w:spacing w:before="0"/>
            </w:pPr>
            <w:r>
              <w:rPr>
                <w:i/>
                <w:color w:val="245E6F"/>
                <w:lang w:val="la"/>
              </w:rPr>
              <w:t>omnia illa somniorum milia.</w:t>
            </w:r>
          </w:p>
        </w:tc>
        <w:tc>
          <w:tcPr>
            <w:tcW w:type="dxa" w:w="5472"/>
            <w:vAlign w:val="top"/>
          </w:tcPr>
          <w:p>
            <w:pPr>
              <w:spacing w:before="0"/>
            </w:pPr>
            <w:r>
              <w:rPr>
                <w:lang w:val="fr-FR"/>
              </w:rPr>
              <w:t>Tous ces milliers de rêves</w:t>
            </w:r>
          </w:p>
        </w:tc>
      </w:tr>
      <w:tr>
        <w:trPr>
          <w:cantSplit/>
        </w:trPr>
        <w:tc>
          <w:tcPr>
            <w:tcW w:type="dxa" w:w="5472"/>
            <w:vAlign w:val="top"/>
          </w:tcPr>
          <w:p>
            <w:pPr>
              <w:spacing w:before="0"/>
            </w:pPr>
            <w:r>
              <w:rPr>
                <w:i/>
                <w:color w:val="245E6F"/>
                <w:lang w:val="la"/>
              </w:rPr>
              <w:t>Sed tam prope me</w:t>
            </w:r>
          </w:p>
        </w:tc>
        <w:tc>
          <w:tcPr>
            <w:tcW w:type="dxa" w:w="5472"/>
            <w:vAlign w:val="top"/>
          </w:tcPr>
          <w:p>
            <w:pPr>
              <w:spacing w:before="0"/>
            </w:pPr>
            <w:r>
              <w:rPr>
                <w:lang w:val="fr-FR"/>
              </w:rPr>
              <w:t>Mais si près de moi</w:t>
            </w:r>
          </w:p>
        </w:tc>
      </w:tr>
      <w:tr>
        <w:trPr>
          <w:cantSplit/>
        </w:trPr>
        <w:tc>
          <w:tcPr>
            <w:tcW w:type="dxa" w:w="5472"/>
            <w:vAlign w:val="top"/>
          </w:tcPr>
          <w:p>
            <w:pPr>
              <w:spacing w:before="0"/>
            </w:pPr>
            <w:commentRangeStart w:id="14"/>
            <w:r>
              <w:rPr>
                <w:i/>
                <w:color w:val="245E6F"/>
                <w:lang w:val="la"/>
              </w:rPr>
              <w:t>puellula macra in oppido Charlemagne sollicita ambulat</w:t>
            </w:r>
            <w:commentRangeEnd w:id="14"/>
            <w:r>
              <w:rPr>
                <w:rStyle w:val="CommentReference"/>
              </w:rPr>
              <w:commentReference w:id="14"/>
            </w:r>
          </w:p>
        </w:tc>
        <w:tc>
          <w:tcPr>
            <w:tcW w:type="dxa" w:w="5472"/>
            <w:vAlign w:val="top"/>
          </w:tcPr>
          <w:p>
            <w:pPr>
              <w:spacing w:before="0"/>
            </w:pPr>
            <w:r>
              <w:rPr>
                <w:lang w:val="fr-FR"/>
              </w:rPr>
              <w:t>Une petite fille maigre marche à Charlemagne, inquiète</w:t>
            </w:r>
          </w:p>
        </w:tc>
      </w:tr>
      <w:tr>
        <w:trPr>
          <w:cantSplit/>
        </w:trPr>
        <w:tc>
          <w:tcPr>
            <w:tcW w:type="dxa" w:w="5472"/>
            <w:vAlign w:val="top"/>
          </w:tcPr>
          <w:p>
            <w:pPr>
              <w:spacing w:before="0"/>
            </w:pPr>
            <w:r>
              <w:rPr>
                <w:i/>
                <w:color w:val="245E6F"/>
                <w:lang w:val="la"/>
              </w:rPr>
              <w:t>et mihi submissa voce loquitur.</w:t>
            </w:r>
          </w:p>
        </w:tc>
        <w:tc>
          <w:tcPr>
            <w:tcW w:type="dxa" w:w="5472"/>
            <w:vAlign w:val="top"/>
          </w:tcPr>
          <w:p>
            <w:pPr>
              <w:spacing w:before="0"/>
            </w:pPr>
            <w:r>
              <w:rPr>
                <w:lang w:val="fr-FR"/>
              </w:rPr>
              <w:t>Et me parle tout bas</w:t>
            </w:r>
          </w:p>
        </w:tc>
      </w:tr>
      <w:tr>
        <w:trPr>
          <w:cantSplit/>
        </w:trPr>
        <w:tc>
          <w:tcPr>
            <w:tcW w:type="dxa" w:w="5472"/>
            <w:vAlign w:val="top"/>
          </w:tcPr>
          <w:p>
            <w:pPr>
              <w:spacing w:before="60"/>
            </w:pPr>
            <w:r>
              <w:rPr>
                <w:i/>
                <w:color w:val="245E6F"/>
                <w:lang w:val="la"/>
              </w:rPr>
              <w:t>Non mutamur: alienas tantum vestes induimus, nihil amplius.</w:t>
            </w:r>
          </w:p>
        </w:tc>
        <w:tc>
          <w:tcPr>
            <w:tcW w:type="dxa" w:w="5472"/>
            <w:vAlign w:val="top"/>
          </w:tcPr>
          <w:p>
            <w:pPr>
              <w:spacing w:before="60"/>
            </w:pPr>
            <w:r>
              <w:rPr>
                <w:lang w:val="fr-FR"/>
              </w:rPr>
              <w:t>On ne change pas, on met juste les costumes d'autres et voilà</w:t>
            </w:r>
          </w:p>
        </w:tc>
      </w:tr>
      <w:tr>
        <w:trPr>
          <w:cantSplit/>
        </w:trPr>
        <w:tc>
          <w:tcPr>
            <w:tcW w:type="dxa" w:w="5472"/>
            <w:vAlign w:val="top"/>
          </w:tcPr>
          <w:p>
            <w:pPr>
              <w:spacing w:before="0"/>
            </w:pPr>
            <w:commentRangeStart w:id="15"/>
            <w:r>
              <w:rPr>
                <w:i/>
                <w:color w:val="245E6F"/>
                <w:lang w:val="la"/>
              </w:rPr>
              <w:t>Non mutamur: nos ipsos paulisper tantum celamus.</w:t>
            </w:r>
            <w:commentRangeEnd w:id="15"/>
            <w:r>
              <w:rPr>
                <w:rStyle w:val="CommentReference"/>
              </w:rPr>
              <w:commentReference w:id="15"/>
            </w:r>
          </w:p>
        </w:tc>
        <w:tc>
          <w:tcPr>
            <w:tcW w:type="dxa" w:w="5472"/>
            <w:vAlign w:val="top"/>
          </w:tcPr>
          <w:p>
            <w:pPr>
              <w:spacing w:before="0"/>
            </w:pPr>
            <w:r>
              <w:rPr>
                <w:lang w:val="fr-FR"/>
              </w:rPr>
              <w:t>On ne change pas, on ne cache qu'un instant de soi</w:t>
            </w:r>
          </w:p>
        </w:tc>
      </w:tr>
      <w:tr>
        <w:trPr>
          <w:cantSplit/>
        </w:trPr>
        <w:tc>
          <w:tcPr>
            <w:tcW w:type="dxa" w:w="5472"/>
            <w:vAlign w:val="top"/>
          </w:tcPr>
          <w:p>
            <w:pPr>
              <w:spacing w:before="60"/>
            </w:pPr>
            <w:r>
              <w:rPr>
                <w:i/>
                <w:color w:val="245E6F"/>
                <w:lang w:val="la"/>
              </w:rPr>
              <w:t>Puellula,</w:t>
            </w:r>
          </w:p>
        </w:tc>
        <w:tc>
          <w:tcPr>
            <w:tcW w:type="dxa" w:w="5472"/>
            <w:vAlign w:val="top"/>
          </w:tcPr>
          <w:p>
            <w:pPr>
              <w:spacing w:before="60"/>
            </w:pPr>
            <w:r>
              <w:rPr>
                <w:lang w:val="fr-FR"/>
              </w:rPr>
              <w:t>Une petite fille</w:t>
            </w:r>
          </w:p>
        </w:tc>
      </w:tr>
      <w:tr>
        <w:trPr>
          <w:cantSplit/>
        </w:trPr>
        <w:tc>
          <w:tcPr>
            <w:tcW w:type="dxa" w:w="5472"/>
            <w:vAlign w:val="top"/>
          </w:tcPr>
          <w:p>
            <w:pPr>
              <w:spacing w:before="0"/>
            </w:pPr>
            <w:commentRangeStart w:id="16"/>
            <w:r>
              <w:rPr>
                <w:i/>
                <w:color w:val="245E6F"/>
                <w:lang w:val="la"/>
              </w:rPr>
              <w:t>invenusta et solitaria, per nives ambulat et somniat, frigoris oblita.</w:t>
            </w:r>
            <w:commentRangeEnd w:id="16"/>
            <w:r>
              <w:rPr>
                <w:rStyle w:val="CommentReference"/>
              </w:rPr>
              <w:commentReference w:id="16"/>
            </w:r>
          </w:p>
        </w:tc>
        <w:tc>
          <w:tcPr>
            <w:tcW w:type="dxa" w:w="5472"/>
            <w:vAlign w:val="top"/>
          </w:tcPr>
          <w:p>
            <w:pPr>
              <w:spacing w:before="0"/>
            </w:pPr>
            <w:r>
              <w:rPr>
                <w:lang w:val="fr-FR"/>
              </w:rPr>
              <w:t>Ingrate et solitaire marche et rêve dans les neiges en oubliant le froid</w:t>
            </w:r>
          </w:p>
        </w:tc>
      </w:tr>
      <w:tr>
        <w:trPr>
          <w:cantSplit/>
        </w:trPr>
        <w:tc>
          <w:tcPr>
            <w:tcW w:type="dxa" w:w="5472"/>
            <w:vAlign w:val="top"/>
          </w:tcPr>
          <w:p>
            <w:pPr>
              <w:spacing w:before="0"/>
            </w:pPr>
            <w:commentRangeStart w:id="17"/>
            <w:r>
              <w:rPr>
                <w:i/>
                <w:color w:val="245E6F"/>
                <w:lang w:val="la"/>
              </w:rPr>
              <w:t>Si eius faciem fuco,</w:t>
            </w:r>
            <w:commentRangeEnd w:id="17"/>
            <w:r>
              <w:rPr>
                <w:rStyle w:val="CommentReference"/>
              </w:rPr>
              <w:commentReference w:id="17"/>
            </w:r>
          </w:p>
        </w:tc>
        <w:tc>
          <w:tcPr>
            <w:tcW w:type="dxa" w:w="5472"/>
            <w:vAlign w:val="top"/>
          </w:tcPr>
          <w:p>
            <w:pPr>
              <w:spacing w:before="0"/>
            </w:pPr>
            <w:r>
              <w:rPr>
                <w:lang w:val="fr-FR"/>
              </w:rPr>
              <w:t>Si je la maquille</w:t>
            </w:r>
          </w:p>
        </w:tc>
      </w:tr>
      <w:tr>
        <w:trPr>
          <w:cantSplit/>
        </w:trPr>
        <w:tc>
          <w:tcPr>
            <w:tcW w:type="dxa" w:w="5472"/>
            <w:vAlign w:val="top"/>
          </w:tcPr>
          <w:p>
            <w:pPr>
              <w:spacing w:before="0"/>
            </w:pPr>
            <w:commentRangeStart w:id="18"/>
            <w:r>
              <w:rPr>
                <w:i/>
                <w:color w:val="245E6F"/>
                <w:lang w:val="la"/>
              </w:rPr>
              <w:t>paulum evanescit, dum me id facientem spectat</w:t>
            </w:r>
            <w:commentRangeEnd w:id="18"/>
            <w:r>
              <w:rPr>
                <w:rStyle w:val="CommentReference"/>
              </w:rPr>
              <w:commentReference w:id="18"/>
            </w:r>
          </w:p>
        </w:tc>
        <w:tc>
          <w:tcPr>
            <w:tcW w:type="dxa" w:w="5472"/>
            <w:vAlign w:val="top"/>
          </w:tcPr>
          <w:p>
            <w:pPr>
              <w:spacing w:before="0"/>
            </w:pPr>
            <w:r>
              <w:rPr>
                <w:lang w:val="fr-FR"/>
              </w:rPr>
              <w:t>Elle disparaît un peu, le temps de me regarder faire</w:t>
            </w:r>
          </w:p>
        </w:tc>
      </w:tr>
      <w:tr>
        <w:trPr>
          <w:cantSplit/>
        </w:trPr>
        <w:tc>
          <w:tcPr>
            <w:tcW w:type="dxa" w:w="5472"/>
            <w:vAlign w:val="top"/>
          </w:tcPr>
          <w:p>
            <w:pPr>
              <w:spacing w:before="0"/>
            </w:pPr>
            <w:r>
              <w:rPr>
                <w:i/>
                <w:color w:val="245E6F"/>
                <w:lang w:val="la"/>
              </w:rPr>
              <w:t>atque me deridet.</w:t>
            </w:r>
          </w:p>
        </w:tc>
        <w:tc>
          <w:tcPr>
            <w:tcW w:type="dxa" w:w="5472"/>
            <w:vAlign w:val="top"/>
          </w:tcPr>
          <w:p>
            <w:pPr>
              <w:spacing w:before="0"/>
            </w:pPr>
            <w:r>
              <w:rPr>
                <w:lang w:val="fr-FR"/>
              </w:rPr>
              <w:t>Et se moquer de moi</w:t>
            </w:r>
          </w:p>
        </w:tc>
      </w:tr>
      <w:tr>
        <w:trPr>
          <w:cantSplit/>
        </w:trPr>
        <w:tc>
          <w:tcPr>
            <w:tcW w:type="dxa" w:w="5472"/>
            <w:vAlign w:val="top"/>
          </w:tcPr>
          <w:p>
            <w:pPr>
              <w:spacing w:before="60"/>
            </w:pPr>
            <w:r>
              <w:rPr>
                <w:i/>
                <w:color w:val="245E6F"/>
                <w:lang w:val="la"/>
              </w:rPr>
              <w:t>Puellula,</w:t>
            </w:r>
          </w:p>
        </w:tc>
        <w:tc>
          <w:tcPr>
            <w:tcW w:type="dxa" w:w="5472"/>
            <w:vAlign w:val="top"/>
          </w:tcPr>
          <w:p>
            <w:pPr>
              <w:spacing w:before="60"/>
            </w:pPr>
            <w:r>
              <w:rPr>
                <w:lang w:val="fr-FR"/>
              </w:rPr>
              <w:t>Une petite fille</w:t>
            </w:r>
          </w:p>
        </w:tc>
      </w:tr>
      <w:tr>
        <w:trPr>
          <w:cantSplit/>
        </w:trPr>
        <w:tc>
          <w:tcPr>
            <w:tcW w:type="dxa" w:w="5472"/>
            <w:vAlign w:val="top"/>
          </w:tcPr>
          <w:p>
            <w:pPr>
              <w:spacing w:before="0"/>
            </w:pPr>
            <w:commentRangeStart w:id="19"/>
            <w:r>
              <w:rPr>
                <w:i/>
                <w:color w:val="245E6F"/>
                <w:lang w:val="la"/>
              </w:rPr>
              <w:t>puellula perparva.</w:t>
            </w:r>
            <w:commentRangeEnd w:id="19"/>
            <w:r>
              <w:rPr>
                <w:rStyle w:val="CommentReference"/>
              </w:rPr>
              <w:commentReference w:id="19"/>
            </w:r>
          </w:p>
        </w:tc>
        <w:tc>
          <w:tcPr>
            <w:tcW w:type="dxa" w:w="5472"/>
            <w:vAlign w:val="top"/>
          </w:tcPr>
          <w:p>
            <w:pPr>
              <w:spacing w:before="0"/>
            </w:pPr>
            <w:r>
              <w:rPr>
                <w:lang w:val="fr-FR"/>
              </w:rPr>
              <w:t>Une toute petite fille</w:t>
            </w:r>
          </w:p>
        </w:tc>
      </w:tr>
    </w:tbl>
    <w:sectPr w:rsidR="00FC693F" w:rsidRPr="0006063C" w:rsidSect="00034616">
      <w:pgSz w:w="12240" w:h="15840"/>
      <w:pgMar w:top="576" w:right="648" w:bottom="576" w:left="648" w:header="216" w:footer="216"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Notes de traduction" w:initials="NT" w:date="2026-10-16T10:17:40Z">
    <w:p>
      <w:pPr>
        <w:pStyle w:val="CommentText"/>
      </w:pPr>
      <w:r>
        <w:rPr>
          <w:rStyle w:val="CommentReference"/>
        </w:rPr>
        <w:annotationRef/>
      </w:r>
      <w:r>
        <w:t>Non mutamur : « nous ne changeons pas ». La forme passive de muto est employée ici au sens intransitif de « changer, se transformer ». Le français on est rendu principalement par la première personne du pluriel. Révision : grammaire et choix lexicaux vérifiés ; adaptation de lecture, sans calage sur la mélodie.</w:t>
      </w:r>
    </w:p>
  </w:comment>
  <w:comment w:id="1" w:author="Notes de traduction" w:initials="NT" w:date="2026-10-16T10:17:40Z">
    <w:p>
      <w:pPr>
        <w:pStyle w:val="CommentText"/>
      </w:pPr>
      <w:r>
        <w:rPr>
          <w:rStyle w:val="CommentReference"/>
        </w:rPr>
        <w:annotationRef/>
      </w:r>
      <w:r>
        <w:t>Alienas vestes : les vêtements d’autrui. Le vocabulaire des vêtements conserve l’image du déguisement social. Vestis reste volontairement général : il ne s’agit pas de transformer la veste moderne en vêtement romain précis.</w:t>
      </w:r>
    </w:p>
  </w:comment>
  <w:comment w:id="2" w:author="Notes de traduction" w:initials="NT" w:date="2026-10-16T10:17:40Z">
    <w:p>
      <w:pPr>
        <w:pStyle w:val="CommentText"/>
      </w:pPr>
      <w:r>
        <w:rPr>
          <w:rStyle w:val="CommentReference"/>
        </w:rPr>
        <w:annotationRef/>
      </w:r>
      <w:r>
        <w:t>Parvam tantum partem rend explicitement « un peu seulement ». Eorum quae videmus signifie « de ce que nous voyons » : eorum est un génitif partitif dépendant de partem, et quae est le complément de videmus.</w:t>
      </w:r>
    </w:p>
  </w:comment>
  <w:comment w:id="3" w:author="Notes de traduction" w:initials="NT" w:date="2026-10-16T10:17:40Z">
    <w:p>
      <w:pPr>
        <w:pStyle w:val="CommentText"/>
      </w:pPr>
      <w:r>
        <w:rPr>
          <w:rStyle w:val="CommentReference"/>
        </w:rPr>
        <w:annotationRef/>
      </w:r>
      <w:r>
        <w:t>Maturiores fimus signifie « nous devenons plus mûrs ». Ce choix distingue la maturité intérieure de la croissance physique exprimée au vers suivant par crescimus.</w:t>
      </w:r>
    </w:p>
  </w:comment>
  <w:comment w:id="4" w:author="Notes de traduction" w:initials="NT" w:date="2026-10-16T10:17:40Z">
    <w:p>
      <w:pPr>
        <w:pStyle w:val="CommentText"/>
      </w:pPr>
      <w:r>
        <w:rPr>
          <w:rStyle w:val="CommentReference"/>
        </w:rPr>
        <w:annotationRef/>
      </w:r>
      <w:r>
        <w:t>Somnium et visum rendent rêve et songe. Tantisper dum signifie « aussi longtemps que » ; durat est au présent pour une observation générale. Le singulier est compatible avec les deux termes alternatifs reliés par aut.</w:t>
      </w:r>
    </w:p>
  </w:comment>
  <w:comment w:id="5" w:author="Notes de traduction" w:initials="NT" w:date="2026-10-16T10:17:40Z">
    <w:p>
      <w:pPr>
        <w:pStyle w:val="CommentText"/>
      </w:pPr>
      <w:r>
        <w:rPr>
          <w:rStyle w:val="CommentReference"/>
        </w:rPr>
        <w:annotationRef/>
      </w:r>
      <w:r>
        <w:t>L’infinitif français est elliptique. Ut ea digito tangamus le développe en une proposition de but : « pour les toucher du doigt ». Ce choix conserve une visée, au lieu d’affirmer que les rêves sont effectivement atteints. Ea renvoie à somnium et visum ; tangamus est au subjonctif après ut final. C’est une interprétation de l’ellipse, non une traduction littérale unique. Allen et Greenough, § 531. https://dcc.dickinson.edu/grammar/latin/purpose-clauses</w:t>
      </w:r>
    </w:p>
  </w:comment>
  <w:comment w:id="6" w:author="Notes de traduction" w:initials="NT" w:date="2026-10-16T10:17:40Z">
    <w:p>
      <w:pPr>
        <w:pStyle w:val="CommentText"/>
      </w:pPr>
      <w:r>
        <w:rPr>
          <w:rStyle w:val="CommentReference"/>
        </w:rPr>
        <w:annotationRef/>
      </w:r>
      <w:r>
        <w:t>Pueri et momentorum sont deux génitifs coordonnés après non obliviscimur ; la négation porte sur les deux compléments. Qui et nudus sont au nominatif dans la relative, dont le sujet est l’enfant. Innocentiae complète momentorum. Obliviscor admet le génitif et l’accusatif : le génitif convient ici au souvenir auquel on reste attaché. Allen et Greenough, § 350. https://dcc.dickinson.edu/grammar/latin/genitive-verbs</w:t>
      </w:r>
    </w:p>
  </w:comment>
  <w:comment w:id="7" w:author="Notes de traduction" w:initials="NT" w:date="2026-10-16T10:17:40Z">
    <w:p>
      <w:pPr>
        <w:pStyle w:val="CommentText"/>
      </w:pPr>
      <w:r>
        <w:rPr>
          <w:rStyle w:val="CommentReference"/>
        </w:rPr>
        <w:annotationRef/>
      </w:r>
      <w:r>
        <w:t>Se donner le change est interprété ici comme « se faire illusion à soi-même », d’où nos ipsos fallimus. Nos eligere credimus est une proposition infinitive : nos à l’accusatif, eligere à l’infinitif. Allen et Greenough, § 580. https://dcc.dickinson.edu/grammar/latin/indirect-discourse</w:t>
      </w:r>
    </w:p>
  </w:comment>
  <w:comment w:id="8" w:author="Notes de traduction" w:initials="NT" w:date="2026-10-16T10:17:40Z">
    <w:p>
      <w:pPr>
        <w:pStyle w:val="CommentText"/>
      </w:pPr>
      <w:r>
        <w:rPr>
          <w:rStyle w:val="CommentReference"/>
        </w:rPr>
        <w:annotationRef/>
      </w:r>
      <w:r>
        <w:t>Sub ipsa specie traduit l’image d’un enfant dissimulé juste sous l’apparence extérieure. Il s’agit d’une interprétation poétique de « tout près de l’apparence », non d’un calque mot à mot. Nobis similis signifie « qui nous ressemble ».</w:t>
      </w:r>
    </w:p>
  </w:comment>
  <w:comment w:id="9" w:author="Notes de traduction" w:initials="NT" w:date="2026-10-16T10:17:40Z">
    <w:p>
      <w:pPr>
        <w:pStyle w:val="CommentText"/>
      </w:pPr>
      <w:r>
        <w:rPr>
          <w:rStyle w:val="CommentReference"/>
        </w:rPr>
        <w:annotationRef/>
      </w:r>
      <w:r>
        <w:t>Interdum audimus cantilenam eius : « parfois nous entendons sa rengaine ». Le pronom français l’ est interprété comme annonçant la rengaine ; eius désigne l’enfant. Cantilenam et protervam sont à l’accusatif, tandis que quae est le sujet de repetit. La rengaine reste personnifiée. Cantilena a bien le sens de refrain rebattu ; pertinaciter rend l’obstination. Lewis et Short, entrée cantilena. https://alatius.com/ls/index.php?l=cantilena</w:t>
      </w:r>
    </w:p>
  </w:comment>
  <w:comment w:id="10" w:author="Notes de traduction" w:initials="NT" w:date="2026-10-16T10:17:40Z">
    <w:p>
      <w:pPr>
        <w:pStyle w:val="CommentText"/>
      </w:pPr>
      <w:r>
        <w:rPr>
          <w:rStyle w:val="CommentReference"/>
        </w:rPr>
        <w:annotationRef/>
      </w:r>
      <w:r>
        <w:t>Noli suivi de l’infinitif relinquere exprime une défense : « ne me quitte pas ». Le singulier correspond à la personne à qui l’enfant s’adresse.</w:t>
      </w:r>
    </w:p>
  </w:comment>
  <w:comment w:id="11" w:author="Notes de traduction" w:initials="NT" w:date="2026-10-16T10:17:40Z">
    <w:p>
      <w:pPr>
        <w:pStyle w:val="CommentText"/>
      </w:pPr>
      <w:r>
        <w:rPr>
          <w:rStyle w:val="CommentReference"/>
        </w:rPr>
        <w:annotationRef/>
      </w:r>
      <w:r>
        <w:t>Qui simus : « qui nous sommes ». Cette formulation allège quis quisque sit et maintient le nous des refrains. Qui est ici interrogatif, au nominatif pluriel, et simus au subjonctif dans l’interrogation indirecte après prodit. La tournure qui simus est attestée chez Cicéron, De finibus IV, 25. Allen et Greenough, § 574. https://dcc.dickinson.edu/grammar/latin/indirect-questions ; https://www.thelatinlibrary.com/cicero/fin4.shtml</w:t>
      </w:r>
    </w:p>
  </w:comment>
  <w:comment w:id="12" w:author="Notes de traduction" w:initials="NT" w:date="2026-10-16T10:17:40Z">
    <w:p>
      <w:pPr>
        <w:pStyle w:val="CommentText"/>
      </w:pPr>
      <w:r>
        <w:rPr>
          <w:rStyle w:val="CommentReference"/>
        </w:rPr>
        <w:annotationRef/>
      </w:r>
      <w:r>
        <w:t>Principes an famuli : « princes ou serviteurs », avec simus sous-entendu. Le pluriel suit qui simus au vers précédent ; an introduit l’alternative. Princeps désigne un personnage de premier rang, famulus un serviteur. Le singulier du vers français est adapté au nous latin. Au vers suivant, principis aut famuli reprend les deux figures au génitif singulier.</w:t>
      </w:r>
    </w:p>
  </w:comment>
  <w:comment w:id="13" w:author="Notes de traduction" w:initials="NT" w:date="2026-10-16T10:17:40Z">
    <w:p>
      <w:pPr>
        <w:pStyle w:val="CommentText"/>
      </w:pPr>
      <w:r>
        <w:rPr>
          <w:rStyle w:val="CommentReference"/>
        </w:rPr>
        <w:annotationRef/>
      </w:r>
      <w:r>
        <w:t>Imitata sum est le parfait du verbe déponent imitor, au féminin puisque la narratrice évoque la petite fille qu’elle a été. Somniorum au vers suivant est le génitif pluriel régi par milia.</w:t>
      </w:r>
    </w:p>
  </w:comment>
  <w:comment w:id="14" w:author="Notes de traduction" w:initials="NT" w:date="2026-10-16T10:17:40Z">
    <w:p>
      <w:pPr>
        <w:pStyle w:val="CommentText"/>
      </w:pPr>
      <w:r>
        <w:rPr>
          <w:rStyle w:val="CommentReference"/>
        </w:rPr>
        <w:annotationRef/>
      </w:r>
      <w:r>
        <w:t>Charlemagne désigne ici la ville québécoise liée à l’enfance de Céline Dion. Le nom moderne est conservé sans lui inventer une forme latine : in oppido Charlemagne. Source biographique officielle : https://www.celinedion.com/about/biography/</w:t>
      </w:r>
    </w:p>
  </w:comment>
  <w:comment w:id="15" w:author="Notes de traduction" w:initials="NT" w:date="2026-10-16T10:17:40Z">
    <w:p>
      <w:pPr>
        <w:pStyle w:val="CommentText"/>
      </w:pPr>
      <w:r>
        <w:rPr>
          <w:rStyle w:val="CommentReference"/>
        </w:rPr>
        <w:annotationRef/>
      </w:r>
      <w:r>
        <w:t>Paulisper tantum : « pour un court instant seulement ». La formulation est plus concise que ad breve tempus tantum. Le vers français « on ne cache qu’un instant de soi » reste elliptique : la traduction retient une lecture temporelle de un instant et rend la dissimulation de soi par nos ipsos celamus. Ce choix poétique n’épuise pas toutes les lectures possibles.</w:t>
      </w:r>
    </w:p>
  </w:comment>
  <w:comment w:id="16" w:author="Notes de traduction" w:initials="NT" w:date="2026-10-16T10:17:40Z">
    <w:p>
      <w:pPr>
        <w:pStyle w:val="CommentText"/>
      </w:pPr>
      <w:r>
        <w:rPr>
          <w:rStyle w:val="CommentReference"/>
        </w:rPr>
        <w:annotationRef/>
      </w:r>
      <w:r>
        <w:t>Invenusta rend ingrate au sens physique de « sans grâce », selon une lecture du portrait de la fillette ; ingrata signifierait « dépourvue de gratitude ». Ce choix de sens est interprétatif. Frigoris oblita signifie « ayant oublié le froid » : oblita s’accorde avec puellula, au féminin singulier, et conserve le sens actif du déponent obliviscor. Lewis et Short, entrée invenustus. https://alatius.com/ls/index.php?id=24728</w:t>
      </w:r>
    </w:p>
  </w:comment>
  <w:comment w:id="17" w:author="Notes de traduction" w:initials="NT" w:date="2026-10-16T10:17:40Z">
    <w:p>
      <w:pPr>
        <w:pStyle w:val="CommentText"/>
      </w:pPr>
      <w:r>
        <w:rPr>
          <w:rStyle w:val="CommentReference"/>
        </w:rPr>
        <w:annotationRef/>
      </w:r>
      <w:r>
        <w:t>Fuco est la première personne du présent de fucare, « farder, colorer ». Faciem est le complément à l’accusatif. Le sens cosmétique de ce verbe est attesté, notamment chez Ovide et Quintilien. Lewis et Short, entrée fuco. https://alatius.com/ls/index.php?l=fuco</w:t>
      </w:r>
    </w:p>
  </w:comment>
  <w:comment w:id="18" w:author="Notes de traduction" w:initials="NT" w:date="2026-10-16T10:17:40Z">
    <w:p>
      <w:pPr>
        <w:pStyle w:val="CommentText"/>
      </w:pPr>
      <w:r>
        <w:rPr>
          <w:rStyle w:val="CommentReference"/>
        </w:rPr>
        <w:annotationRef/>
      </w:r>
      <w:r>
        <w:t>Dum me id facientem spectat atque me deridet signifie « pendant qu’elle me regarde faire cela et se moque de moi ». Facientem s’accorde avec me à l’accusatif ; le sujet de spectat et deridet est la fillette.</w:t>
      </w:r>
    </w:p>
  </w:comment>
  <w:comment w:id="19" w:author="Notes de traduction" w:initials="NT" w:date="2026-10-16T10:17:40Z">
    <w:p>
      <w:pPr>
        <w:pStyle w:val="CommentText"/>
      </w:pPr>
      <w:r>
        <w:rPr>
          <w:rStyle w:val="CommentReference"/>
        </w:rPr>
        <w:annotationRef/>
      </w:r>
      <w:r>
        <w:t>Perparva signifie « toute petite ». Le diminutif puellula et l’adjectif intensif préservent l’insistance affective du dernier vers. Adaptation destinée à la lecture : le calage syllabique sur la mélodie n’a pas été validé.</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val="0"/>
      <w:spacing w:before="0" w:after="0" w:line="248" w:lineRule="exact"/>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360" w:lineRule="exact"/>
      <w:contextualSpacing/>
    </w:pPr>
    <w:rPr>
      <w:rFonts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ne change pas en latin — Non mutamur</dc:title>
  <dc:subject>Adaptation latine avec paroles françaises en regard et notes de traduction</dc:subject>
  <dc:creator/>
  <cp:keywords>latin, enfance, identité, chanson, traduction</cp:keywords>
  <dc:description>Adaptation de lecture ; prosodie musicale non validée.</dc:description>
  <cp:lastModifiedBy/>
  <cp:revision>1</cp:revision>
  <dcterms:created xsi:type="dcterms:W3CDTF">2013-12-23T23:15:00Z</dcterms:created>
  <dcterms:modified xsi:type="dcterms:W3CDTF">2013-12-23T23:15:00Z</dcterms:modified>
  <cp:category/>
</cp:coreProperties>
</file>