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Si amare satis esset</w:t>
      </w:r>
    </w:p>
    <w:p>
      <w:pPr>
        <w:jc w:val="center"/>
      </w:pPr>
      <w:r>
        <w:rPr>
          <w:i/>
        </w:rPr>
        <w:t>S’il suffisait d’aimer en latin</w:t>
      </w:r>
    </w:p>
    <w:p>
      <w:pPr>
        <w:spacing w:after="140"/>
        <w:jc w:val="center"/>
      </w:pPr>
      <w:r>
        <w:rPr>
          <w:sz w:val="18"/>
        </w:rPr>
        <w:t>Adaptation de lecture de la chanson interprétée par Céline Dion</w:t>
      </w:r>
    </w:p>
    <w:tbl>
      <w:tblPr>
        <w:tblW w:type="auto" w:w="0"/>
        <w:jc w:val="center"/>
        <w:tblLayout w:type="fixed"/>
        <w:tblLook w:firstColumn="1" w:firstRow="1" w:lastColumn="0" w:lastRow="0" w:noHBand="0" w:noVBand="1" w:val="04A0"/>
        <w:tblBorders>
          <w:top w:val="nil"/>
          <w:left w:val="nil"/>
          <w:bottom w:val="nil"/>
          <w:right w:val="nil"/>
          <w:insideH w:val="nil"/>
          <w:insideV w:val="single" w:sz="4" w:color="D9D9D9"/>
        </w:tblBorders>
        <w:tblCellMar>
          <w:top w:w="0" w:type="dxa"/>
          <w:bottom w:w="0" w:type="dxa"/>
          <w:left w:w="90" w:type="dxa"/>
          <w:right w:w="90" w:type="dxa"/>
        </w:tblCellMar>
      </w:tblPr>
      <w:tblGrid>
        <w:gridCol w:w="5472"/>
        <w:gridCol w:w="5472"/>
      </w:tblGrid>
      <w:tr>
        <w:trPr>
          <w:tblHeader/>
        </w:trPr>
        <w:tc>
          <w:tcPr>
            <w:tcW w:type="dxa" w:w="5472"/>
          </w:tcPr>
          <w:p>
            <w:pPr>
              <w:spacing w:after="100"/>
            </w:pPr>
            <w:r>
              <w:rPr>
                <w:b/>
              </w:rPr>
              <w:t>Adaptation latine</w:t>
            </w:r>
          </w:p>
        </w:tc>
        <w:tc>
          <w:tcPr>
            <w:tcW w:type="dxa" w:w="5472"/>
          </w:tcPr>
          <w:p>
            <w:pPr>
              <w:spacing w:after="100"/>
            </w:pPr>
            <w:r>
              <w:rPr>
                <w:b/>
              </w:rPr>
              <w:t>Paroles françaises</w:t>
            </w:r>
          </w:p>
        </w:tc>
      </w:tr>
      <w:tr>
        <w:trPr>
          <w:cantSplit/>
        </w:trPr>
        <w:tc>
          <w:tcPr>
            <w:tcW w:type="dxa" w:w="5472"/>
            <w:vAlign w:val="top"/>
          </w:tcPr>
          <w:p>
            <w:pPr>
              <w:spacing w:before="0"/>
            </w:pPr>
            <w:commentRangeStart w:id="0"/>
            <w:r>
              <w:rPr>
                <w:i/>
                <w:color w:val="245E6F"/>
                <w:lang w:val="la"/>
              </w:rPr>
              <w:t>Vultum eius somnio, corpus membratim describo,</w:t>
            </w:r>
            <w:commentRangeEnd w:id="0"/>
            <w:r>
              <w:rPr>
                <w:rStyle w:val="CommentReference"/>
              </w:rPr>
              <w:commentReference w:id="0"/>
            </w:r>
          </w:p>
        </w:tc>
        <w:tc>
          <w:tcPr>
            <w:tcW w:type="dxa" w:w="5472"/>
            <w:vAlign w:val="top"/>
          </w:tcPr>
          <w:p>
            <w:pPr>
              <w:spacing w:before="0"/>
            </w:pPr>
            <w:r>
              <w:rPr>
                <w:lang w:val="fr-FR"/>
              </w:rPr>
              <w:t>Je rêve son visage, je décline son corps</w:t>
            </w:r>
          </w:p>
        </w:tc>
      </w:tr>
      <w:tr>
        <w:trPr>
          <w:cantSplit/>
        </w:trPr>
        <w:tc>
          <w:tcPr>
            <w:tcW w:type="dxa" w:w="5472"/>
            <w:vAlign w:val="top"/>
          </w:tcPr>
          <w:p>
            <w:pPr>
              <w:spacing w:before="0"/>
            </w:pPr>
            <w:commentRangeStart w:id="1"/>
            <w:r>
              <w:rPr>
                <w:i/>
                <w:color w:val="245E6F"/>
                <w:lang w:val="la"/>
              </w:rPr>
              <w:t>deinde eum in mundo meo habitantem fingo.</w:t>
            </w:r>
            <w:commentRangeEnd w:id="1"/>
            <w:r>
              <w:rPr>
                <w:rStyle w:val="CommentReference"/>
              </w:rPr>
              <w:commentReference w:id="1"/>
            </w:r>
          </w:p>
        </w:tc>
        <w:tc>
          <w:tcPr>
            <w:tcW w:type="dxa" w:w="5472"/>
            <w:vAlign w:val="top"/>
          </w:tcPr>
          <w:p>
            <w:pPr>
              <w:spacing w:before="0"/>
            </w:pPr>
            <w:r>
              <w:rPr>
                <w:lang w:val="fr-FR"/>
              </w:rPr>
              <w:t>Et puis je l'imagine habitant mon décor</w:t>
            </w:r>
          </w:p>
        </w:tc>
      </w:tr>
      <w:tr>
        <w:trPr>
          <w:cantSplit/>
        </w:trPr>
        <w:tc>
          <w:tcPr>
            <w:tcW w:type="dxa" w:w="5472"/>
            <w:vAlign w:val="top"/>
          </w:tcPr>
          <w:p>
            <w:pPr>
              <w:spacing w:before="0"/>
            </w:pPr>
            <w:commentRangeStart w:id="2"/>
            <w:r>
              <w:rPr>
                <w:i/>
                <w:color w:val="245E6F"/>
                <w:lang w:val="la"/>
              </w:rPr>
              <w:t>Tam multa haberem quae ei dicerem, si loqui scivissem.</w:t>
            </w:r>
            <w:commentRangeEnd w:id="2"/>
            <w:r>
              <w:rPr>
                <w:rStyle w:val="CommentReference"/>
              </w:rPr>
              <w:commentReference w:id="2"/>
            </w:r>
          </w:p>
        </w:tc>
        <w:tc>
          <w:tcPr>
            <w:tcW w:type="dxa" w:w="5472"/>
            <w:vAlign w:val="top"/>
          </w:tcPr>
          <w:p>
            <w:pPr>
              <w:spacing w:before="0"/>
            </w:pPr>
            <w:r>
              <w:rPr>
                <w:lang w:val="fr-FR"/>
              </w:rPr>
              <w:t>J'aurais tant à lui dire si j'avais su parler</w:t>
            </w:r>
          </w:p>
        </w:tc>
      </w:tr>
      <w:tr>
        <w:trPr>
          <w:cantSplit/>
        </w:trPr>
        <w:tc>
          <w:tcPr>
            <w:tcW w:type="dxa" w:w="5472"/>
            <w:vAlign w:val="top"/>
          </w:tcPr>
          <w:p>
            <w:pPr>
              <w:spacing w:before="0"/>
            </w:pPr>
            <w:commentRangeStart w:id="3"/>
            <w:r>
              <w:rPr>
                <w:i/>
                <w:color w:val="245E6F"/>
                <w:lang w:val="la"/>
              </w:rPr>
              <w:t>Quomodo efficiam ut intimas cogitationes meas legat?</w:t>
            </w:r>
            <w:commentRangeEnd w:id="3"/>
            <w:r>
              <w:rPr>
                <w:rStyle w:val="CommentReference"/>
              </w:rPr>
              <w:commentReference w:id="3"/>
            </w:r>
          </w:p>
        </w:tc>
        <w:tc>
          <w:tcPr>
            <w:tcW w:type="dxa" w:w="5472"/>
            <w:vAlign w:val="top"/>
          </w:tcPr>
          <w:p>
            <w:pPr>
              <w:spacing w:before="0"/>
            </w:pPr>
            <w:r>
              <w:rPr>
                <w:lang w:val="fr-FR"/>
              </w:rPr>
              <w:t>Comment lui faire lire au fond de mes pensées?</w:t>
            </w:r>
          </w:p>
        </w:tc>
      </w:tr>
      <w:tr>
        <w:trPr>
          <w:cantSplit/>
        </w:trPr>
        <w:tc>
          <w:tcPr>
            <w:tcW w:type="dxa" w:w="5472"/>
            <w:vAlign w:val="top"/>
          </w:tcPr>
          <w:p>
            <w:pPr>
              <w:spacing w:before="0"/>
            </w:pPr>
            <w:commentRangeStart w:id="4"/>
            <w:r>
              <w:rPr>
                <w:i/>
                <w:color w:val="245E6F"/>
                <w:lang w:val="la"/>
              </w:rPr>
              <w:t>Sed quomodo aliis omnia prospere cedunt?</w:t>
            </w:r>
            <w:commentRangeEnd w:id="4"/>
            <w:r>
              <w:rPr>
                <w:rStyle w:val="CommentReference"/>
              </w:rPr>
              <w:commentReference w:id="4"/>
            </w:r>
          </w:p>
        </w:tc>
        <w:tc>
          <w:tcPr>
            <w:tcW w:type="dxa" w:w="5472"/>
            <w:vAlign w:val="top"/>
          </w:tcPr>
          <w:p>
            <w:pPr>
              <w:spacing w:before="0"/>
            </w:pPr>
            <w:r>
              <w:rPr>
                <w:lang w:val="fr-FR"/>
              </w:rPr>
              <w:t>Mais comment font ces autres à qui tout réussit?</w:t>
            </w:r>
          </w:p>
        </w:tc>
      </w:tr>
      <w:tr>
        <w:trPr>
          <w:cantSplit/>
        </w:trPr>
        <w:tc>
          <w:tcPr>
            <w:tcW w:type="dxa" w:w="5472"/>
            <w:vAlign w:val="top"/>
          </w:tcPr>
          <w:p>
            <w:pPr>
              <w:spacing w:before="0"/>
            </w:pPr>
            <w:commentRangeStart w:id="5"/>
            <w:r>
              <w:rPr>
                <w:i/>
                <w:color w:val="245E6F"/>
                <w:lang w:val="la"/>
              </w:rPr>
              <w:t>Indicet aliquis mihi errores meos vanasque spes.</w:t>
            </w:r>
            <w:commentRangeEnd w:id="5"/>
            <w:r>
              <w:rPr>
                <w:rStyle w:val="CommentReference"/>
              </w:rPr>
              <w:commentReference w:id="5"/>
            </w:r>
          </w:p>
        </w:tc>
        <w:tc>
          <w:tcPr>
            <w:tcW w:type="dxa" w:w="5472"/>
            <w:vAlign w:val="top"/>
          </w:tcPr>
          <w:p>
            <w:pPr>
              <w:spacing w:before="0"/>
            </w:pPr>
            <w:r>
              <w:rPr>
                <w:lang w:val="fr-FR"/>
              </w:rPr>
              <w:t>Qu'on me dise mes fautes, mes chimères aussi</w:t>
            </w:r>
          </w:p>
        </w:tc>
      </w:tr>
      <w:tr>
        <w:trPr>
          <w:cantSplit/>
        </w:trPr>
        <w:tc>
          <w:tcPr>
            <w:tcW w:type="dxa" w:w="5472"/>
            <w:vAlign w:val="top"/>
          </w:tcPr>
          <w:p>
            <w:pPr>
              <w:spacing w:before="0"/>
            </w:pPr>
            <w:r>
              <w:rPr>
                <w:i/>
                <w:color w:val="245E6F"/>
                <w:lang w:val="la"/>
              </w:rPr>
              <w:t>Ego animam, cor omneque tempus meum offerrem;</w:t>
            </w:r>
          </w:p>
        </w:tc>
        <w:tc>
          <w:tcPr>
            <w:tcW w:type="dxa" w:w="5472"/>
            <w:vAlign w:val="top"/>
          </w:tcPr>
          <w:p>
            <w:pPr>
              <w:spacing w:before="0"/>
            </w:pPr>
            <w:r>
              <w:rPr>
                <w:lang w:val="fr-FR"/>
              </w:rPr>
              <w:t>Moi j'offrirais mon âme, mon cœur et tout mon temps</w:t>
            </w:r>
          </w:p>
        </w:tc>
      </w:tr>
      <w:tr>
        <w:trPr>
          <w:cantSplit/>
        </w:trPr>
        <w:tc>
          <w:tcPr>
            <w:tcW w:type="dxa" w:w="5472"/>
            <w:vAlign w:val="top"/>
          </w:tcPr>
          <w:p>
            <w:pPr>
              <w:spacing w:before="0"/>
            </w:pPr>
            <w:commentRangeStart w:id="6"/>
            <w:r>
              <w:rPr>
                <w:i/>
                <w:color w:val="245E6F"/>
                <w:lang w:val="la"/>
              </w:rPr>
              <w:t>sed quamvis omnia dem, ne omnia quidem satis sunt.</w:t>
            </w:r>
            <w:commentRangeEnd w:id="6"/>
            <w:r>
              <w:rPr>
                <w:rStyle w:val="CommentReference"/>
              </w:rPr>
              <w:commentReference w:id="6"/>
            </w:r>
          </w:p>
        </w:tc>
        <w:tc>
          <w:tcPr>
            <w:tcW w:type="dxa" w:w="5472"/>
            <w:vAlign w:val="top"/>
          </w:tcPr>
          <w:p>
            <w:pPr>
              <w:spacing w:before="0"/>
            </w:pPr>
            <w:r>
              <w:rPr>
                <w:lang w:val="fr-FR"/>
              </w:rPr>
              <w:t>Mais j'ai beau tout donner, tout n'est pas suffisant</w:t>
            </w:r>
          </w:p>
        </w:tc>
      </w:tr>
      <w:tr>
        <w:trPr>
          <w:cantSplit/>
        </w:trPr>
        <w:tc>
          <w:tcPr>
            <w:tcW w:type="dxa" w:w="5472"/>
            <w:vAlign w:val="top"/>
          </w:tcPr>
          <w:p>
            <w:pPr>
              <w:spacing w:before="100"/>
            </w:pPr>
            <w:commentRangeStart w:id="7"/>
            <w:r>
              <w:rPr>
                <w:b/>
                <w:i/>
                <w:color w:val="245E6F"/>
                <w:lang w:val="la"/>
              </w:rPr>
              <w:t>Si mutuus amor satis esset, si satis esset amare,</w:t>
            </w:r>
            <w:commentRangeEnd w:id="7"/>
            <w:r>
              <w:rPr>
                <w:rStyle w:val="CommentReference"/>
              </w:rPr>
              <w:commentReference w:id="7"/>
            </w:r>
          </w:p>
        </w:tc>
        <w:tc>
          <w:tcPr>
            <w:tcW w:type="dxa" w:w="5472"/>
            <w:vAlign w:val="top"/>
          </w:tcPr>
          <w:p>
            <w:pPr>
              <w:spacing w:before="100"/>
            </w:pPr>
            <w:r>
              <w:rPr>
                <w:lang w:val="fr-FR"/>
              </w:rPr>
              <w:t>S'il suffisait qu'on s'aime, s'il suffisait d'aimer</w:t>
            </w:r>
          </w:p>
        </w:tc>
      </w:tr>
      <w:tr>
        <w:trPr>
          <w:cantSplit/>
        </w:trPr>
        <w:tc>
          <w:tcPr>
            <w:tcW w:type="dxa" w:w="5472"/>
            <w:vAlign w:val="top"/>
          </w:tcPr>
          <w:p>
            <w:pPr>
              <w:spacing w:before="0"/>
            </w:pPr>
            <w:commentRangeStart w:id="8"/>
            <w:r>
              <w:rPr>
                <w:i/>
                <w:color w:val="245E6F"/>
                <w:lang w:val="la"/>
              </w:rPr>
              <w:t>si res paulum mutaremus solo dandi amore,</w:t>
            </w:r>
            <w:commentRangeEnd w:id="8"/>
            <w:r>
              <w:rPr>
                <w:rStyle w:val="CommentReference"/>
              </w:rPr>
              <w:commentReference w:id="8"/>
            </w:r>
          </w:p>
        </w:tc>
        <w:tc>
          <w:tcPr>
            <w:tcW w:type="dxa" w:w="5472"/>
            <w:vAlign w:val="top"/>
          </w:tcPr>
          <w:p>
            <w:pPr>
              <w:spacing w:before="0"/>
            </w:pPr>
            <w:r>
              <w:rPr>
                <w:lang w:val="fr-FR"/>
              </w:rPr>
              <w:t>Si l'on changeait les choses un peu, rien qu'en aimant donner</w:t>
            </w:r>
          </w:p>
        </w:tc>
      </w:tr>
      <w:tr>
        <w:trPr>
          <w:cantSplit/>
        </w:trPr>
        <w:tc>
          <w:tcPr>
            <w:tcW w:type="dxa" w:w="5472"/>
            <w:vAlign w:val="top"/>
          </w:tcPr>
          <w:p>
            <w:pPr>
              <w:spacing w:before="0"/>
            </w:pPr>
            <w:r>
              <w:rPr>
                <w:b/>
                <w:i/>
                <w:color w:val="245E6F"/>
                <w:lang w:val="la"/>
              </w:rPr>
              <w:t>Si mutuus amor satis esset, si satis esset amare,</w:t>
            </w:r>
          </w:p>
        </w:tc>
        <w:tc>
          <w:tcPr>
            <w:tcW w:type="dxa" w:w="5472"/>
            <w:vAlign w:val="top"/>
          </w:tcPr>
          <w:p>
            <w:pPr>
              <w:spacing w:before="0"/>
            </w:pPr>
            <w:r>
              <w:rPr>
                <w:lang w:val="fr-FR"/>
              </w:rPr>
              <w:t>S'il suffisait qu'on s'aime, s'il suffisait d'aimer</w:t>
            </w:r>
          </w:p>
        </w:tc>
      </w:tr>
      <w:tr>
        <w:trPr>
          <w:cantSplit/>
        </w:trPr>
        <w:tc>
          <w:tcPr>
            <w:tcW w:type="dxa" w:w="5472"/>
            <w:vAlign w:val="top"/>
          </w:tcPr>
          <w:p>
            <w:pPr>
              <w:spacing w:before="0"/>
            </w:pPr>
            <w:commentRangeStart w:id="9"/>
            <w:r>
              <w:rPr>
                <w:i/>
                <w:color w:val="245E6F"/>
                <w:lang w:val="la"/>
              </w:rPr>
              <w:t>hunc mundum in somnium, in aeternitatem verterem.</w:t>
            </w:r>
            <w:commentRangeEnd w:id="9"/>
            <w:r>
              <w:rPr>
                <w:rStyle w:val="CommentReference"/>
              </w:rPr>
              <w:commentReference w:id="9"/>
            </w:r>
          </w:p>
        </w:tc>
        <w:tc>
          <w:tcPr>
            <w:tcW w:type="dxa" w:w="5472"/>
            <w:vAlign w:val="top"/>
          </w:tcPr>
          <w:p>
            <w:pPr>
              <w:spacing w:before="0"/>
            </w:pPr>
            <w:r>
              <w:rPr>
                <w:lang w:val="fr-FR"/>
              </w:rPr>
              <w:t>Je ferais de ce monde un rêve, une éternité</w:t>
            </w:r>
          </w:p>
        </w:tc>
      </w:tr>
      <w:tr>
        <w:trPr>
          <w:cantSplit/>
        </w:trPr>
        <w:tc>
          <w:tcPr>
            <w:tcW w:type="dxa" w:w="5472"/>
            <w:vAlign w:val="top"/>
          </w:tcPr>
          <w:p>
            <w:pPr>
              <w:spacing w:before="100"/>
            </w:pPr>
            <w:commentRangeStart w:id="10"/>
            <w:r>
              <w:rPr>
                <w:i/>
                <w:color w:val="245E6F"/>
                <w:lang w:val="la"/>
              </w:rPr>
              <w:t>Somniis meis sanguis et floris folium aridum insunt,</w:t>
            </w:r>
            <w:commentRangeEnd w:id="10"/>
            <w:r>
              <w:rPr>
                <w:rStyle w:val="CommentReference"/>
              </w:rPr>
              <w:commentReference w:id="10"/>
            </w:r>
          </w:p>
        </w:tc>
        <w:tc>
          <w:tcPr>
            <w:tcW w:type="dxa" w:w="5472"/>
            <w:vAlign w:val="top"/>
          </w:tcPr>
          <w:p>
            <w:pPr>
              <w:spacing w:before="100"/>
            </w:pPr>
            <w:r>
              <w:rPr>
                <w:lang w:val="fr-FR"/>
              </w:rPr>
              <w:t>J'ai du sang dans mes songes, un pétale séché</w:t>
            </w:r>
          </w:p>
        </w:tc>
      </w:tr>
      <w:tr>
        <w:trPr>
          <w:cantSplit/>
        </w:trPr>
        <w:tc>
          <w:tcPr>
            <w:tcW w:type="dxa" w:w="5472"/>
            <w:vAlign w:val="top"/>
          </w:tcPr>
          <w:p>
            <w:pPr>
              <w:spacing w:before="0"/>
            </w:pPr>
            <w:commentRangeStart w:id="11"/>
            <w:r>
              <w:rPr>
                <w:i/>
                <w:color w:val="245E6F"/>
                <w:lang w:val="la"/>
              </w:rPr>
              <w:t>cum me rodunt lacrimae quas alii fuderunt.</w:t>
            </w:r>
            <w:commentRangeEnd w:id="11"/>
            <w:r>
              <w:rPr>
                <w:rStyle w:val="CommentReference"/>
              </w:rPr>
              <w:commentReference w:id="11"/>
            </w:r>
          </w:p>
        </w:tc>
        <w:tc>
          <w:tcPr>
            <w:tcW w:type="dxa" w:w="5472"/>
            <w:vAlign w:val="top"/>
          </w:tcPr>
          <w:p>
            <w:pPr>
              <w:spacing w:before="0"/>
            </w:pPr>
            <w:r>
              <w:rPr>
                <w:lang w:val="fr-FR"/>
              </w:rPr>
              <w:t>Quand des larmes me rongent que d'autres ont versées</w:t>
            </w:r>
          </w:p>
        </w:tc>
      </w:tr>
      <w:tr>
        <w:trPr>
          <w:cantSplit/>
        </w:trPr>
        <w:tc>
          <w:tcPr>
            <w:tcW w:type="dxa" w:w="5472"/>
            <w:vAlign w:val="top"/>
          </w:tcPr>
          <w:p>
            <w:pPr>
              <w:spacing w:before="0"/>
            </w:pPr>
            <w:commentRangeStart w:id="12"/>
            <w:r>
              <w:rPr>
                <w:i/>
                <w:color w:val="245E6F"/>
                <w:lang w:val="la"/>
              </w:rPr>
              <w:t>Vita non est undique clausa; insula mea a vento tuta.</w:t>
            </w:r>
            <w:commentRangeEnd w:id="12"/>
            <w:r>
              <w:rPr>
                <w:rStyle w:val="CommentReference"/>
              </w:rPr>
              <w:commentReference w:id="12"/>
            </w:r>
          </w:p>
        </w:tc>
        <w:tc>
          <w:tcPr>
            <w:tcW w:type="dxa" w:w="5472"/>
            <w:vAlign w:val="top"/>
          </w:tcPr>
          <w:p>
            <w:pPr>
              <w:spacing w:before="0"/>
            </w:pPr>
            <w:r>
              <w:rPr>
                <w:lang w:val="fr-FR"/>
              </w:rPr>
              <w:t>La vie n'est pas étanche, mon île est sous le vent</w:t>
            </w:r>
          </w:p>
        </w:tc>
      </w:tr>
      <w:tr>
        <w:trPr>
          <w:cantSplit/>
        </w:trPr>
        <w:tc>
          <w:tcPr>
            <w:tcW w:type="dxa" w:w="5472"/>
            <w:vAlign w:val="top"/>
          </w:tcPr>
          <w:p>
            <w:pPr>
              <w:spacing w:before="0"/>
            </w:pPr>
            <w:commentRangeStart w:id="13"/>
            <w:r>
              <w:rPr>
                <w:i/>
                <w:color w:val="245E6F"/>
                <w:lang w:val="la"/>
              </w:rPr>
              <w:t>Fores etiam clausae clamores intromittunt.</w:t>
            </w:r>
            <w:commentRangeEnd w:id="13"/>
            <w:r>
              <w:rPr>
                <w:rStyle w:val="CommentReference"/>
              </w:rPr>
              <w:commentReference w:id="13"/>
            </w:r>
          </w:p>
        </w:tc>
        <w:tc>
          <w:tcPr>
            <w:tcW w:type="dxa" w:w="5472"/>
            <w:vAlign w:val="top"/>
          </w:tcPr>
          <w:p>
            <w:pPr>
              <w:spacing w:before="0"/>
            </w:pPr>
            <w:r>
              <w:rPr>
                <w:lang w:val="fr-FR"/>
              </w:rPr>
              <w:t>Les portes laissent entrer les cris même en fermant</w:t>
            </w:r>
          </w:p>
        </w:tc>
      </w:tr>
      <w:tr>
        <w:trPr>
          <w:cantSplit/>
        </w:trPr>
        <w:tc>
          <w:tcPr>
            <w:tcW w:type="dxa" w:w="5472"/>
            <w:vAlign w:val="top"/>
          </w:tcPr>
          <w:p>
            <w:pPr>
              <w:spacing w:before="0"/>
            </w:pPr>
            <w:commentRangeStart w:id="14"/>
            <w:r>
              <w:rPr>
                <w:i/>
                <w:color w:val="245E6F"/>
                <w:lang w:val="la"/>
              </w:rPr>
              <w:t>In horto puerorum, in maeniano flores,</w:t>
            </w:r>
            <w:commentRangeEnd w:id="14"/>
            <w:r>
              <w:rPr>
                <w:rStyle w:val="CommentReference"/>
              </w:rPr>
              <w:commentReference w:id="14"/>
            </w:r>
          </w:p>
        </w:tc>
        <w:tc>
          <w:tcPr>
            <w:tcW w:type="dxa" w:w="5472"/>
            <w:vAlign w:val="top"/>
          </w:tcPr>
          <w:p>
            <w:pPr>
              <w:spacing w:before="0"/>
            </w:pPr>
            <w:r>
              <w:rPr>
                <w:lang w:val="fr-FR"/>
              </w:rPr>
              <w:t>Dans un jardin d'enfant, sur un balcon des fleurs</w:t>
            </w:r>
          </w:p>
        </w:tc>
      </w:tr>
      <w:tr>
        <w:trPr>
          <w:cantSplit/>
        </w:trPr>
        <w:tc>
          <w:tcPr>
            <w:tcW w:type="dxa" w:w="5472"/>
            <w:vAlign w:val="top"/>
          </w:tcPr>
          <w:p>
            <w:pPr>
              <w:spacing w:before="0"/>
            </w:pPr>
            <w:commentRangeStart w:id="15"/>
            <w:r>
              <w:rPr>
                <w:i/>
                <w:color w:val="245E6F"/>
                <w:lang w:val="la"/>
              </w:rPr>
              <w:t>vita mea tranquilla, ubi omnia corda pulsare audio.</w:t>
            </w:r>
            <w:commentRangeEnd w:id="15"/>
            <w:r>
              <w:rPr>
                <w:rStyle w:val="CommentReference"/>
              </w:rPr>
              <w:commentReference w:id="15"/>
            </w:r>
          </w:p>
        </w:tc>
        <w:tc>
          <w:tcPr>
            <w:tcW w:type="dxa" w:w="5472"/>
            <w:vAlign w:val="top"/>
          </w:tcPr>
          <w:p>
            <w:pPr>
              <w:spacing w:before="0"/>
            </w:pPr>
            <w:r>
              <w:rPr>
                <w:lang w:val="fr-FR"/>
              </w:rPr>
              <w:t>Ma vie paisible où j'entends battre tous les cœurs</w:t>
            </w:r>
          </w:p>
        </w:tc>
      </w:tr>
      <w:tr>
        <w:trPr>
          <w:cantSplit/>
        </w:trPr>
        <w:tc>
          <w:tcPr>
            <w:tcW w:type="dxa" w:w="5472"/>
            <w:vAlign w:val="top"/>
          </w:tcPr>
          <w:p>
            <w:pPr>
              <w:spacing w:before="0"/>
            </w:pPr>
            <w:commentRangeStart w:id="16"/>
            <w:r>
              <w:rPr>
                <w:i/>
                <w:color w:val="245E6F"/>
                <w:lang w:val="la"/>
              </w:rPr>
              <w:t>Cum nubes nigrescunt, malorum praesagia,</w:t>
            </w:r>
            <w:commentRangeEnd w:id="16"/>
            <w:r>
              <w:rPr>
                <w:rStyle w:val="CommentReference"/>
              </w:rPr>
              <w:commentReference w:id="16"/>
            </w:r>
          </w:p>
        </w:tc>
        <w:tc>
          <w:tcPr>
            <w:tcW w:type="dxa" w:w="5472"/>
            <w:vAlign w:val="top"/>
          </w:tcPr>
          <w:p>
            <w:pPr>
              <w:spacing w:before="0"/>
            </w:pPr>
            <w:r>
              <w:rPr>
                <w:lang w:val="fr-FR"/>
              </w:rPr>
              <w:t>Quand les nuages foncent, présages des malheurs</w:t>
            </w:r>
          </w:p>
        </w:tc>
      </w:tr>
      <w:tr>
        <w:trPr>
          <w:cantSplit/>
        </w:trPr>
        <w:tc>
          <w:tcPr>
            <w:tcW w:type="dxa" w:w="5472"/>
            <w:vAlign w:val="top"/>
          </w:tcPr>
          <w:p>
            <w:pPr>
              <w:spacing w:before="0"/>
            </w:pPr>
            <w:commentRangeStart w:id="17"/>
            <w:r>
              <w:rPr>
                <w:i/>
                <w:color w:val="245E6F"/>
                <w:lang w:val="la"/>
              </w:rPr>
              <w:t>quae arma terris timorum nostrorum respondent?</w:t>
            </w:r>
            <w:commentRangeEnd w:id="17"/>
            <w:r>
              <w:rPr>
                <w:rStyle w:val="CommentReference"/>
              </w:rPr>
              <w:commentReference w:id="17"/>
            </w:r>
          </w:p>
        </w:tc>
        <w:tc>
          <w:tcPr>
            <w:tcW w:type="dxa" w:w="5472"/>
            <w:vAlign w:val="top"/>
          </w:tcPr>
          <w:p>
            <w:pPr>
              <w:spacing w:before="0"/>
            </w:pPr>
            <w:r>
              <w:rPr>
                <w:lang w:val="fr-FR"/>
              </w:rPr>
              <w:t>Quelles armes répondent aux pays de nos peurs?</w:t>
            </w:r>
          </w:p>
        </w:tc>
      </w:tr>
      <w:tr>
        <w:trPr>
          <w:cantSplit/>
        </w:trPr>
        <w:tc>
          <w:tcPr>
            <w:tcW w:type="dxa" w:w="5472"/>
            <w:vAlign w:val="top"/>
          </w:tcPr>
          <w:p>
            <w:pPr>
              <w:spacing w:before="100"/>
            </w:pPr>
            <w:r>
              <w:rPr>
                <w:b/>
                <w:i/>
                <w:color w:val="245E6F"/>
                <w:lang w:val="la"/>
              </w:rPr>
              <w:t>Si mutuus amor satis esset, si satis esset amare,</w:t>
            </w:r>
          </w:p>
        </w:tc>
        <w:tc>
          <w:tcPr>
            <w:tcW w:type="dxa" w:w="5472"/>
            <w:vAlign w:val="top"/>
          </w:tcPr>
          <w:p>
            <w:pPr>
              <w:spacing w:before="100"/>
            </w:pPr>
            <w:r>
              <w:rPr>
                <w:lang w:val="fr-FR"/>
              </w:rPr>
              <w:t>S'il suffisait qu'on s'aime, s'il suffisait d'aimer</w:t>
            </w:r>
          </w:p>
        </w:tc>
      </w:tr>
      <w:tr>
        <w:trPr>
          <w:cantSplit/>
        </w:trPr>
        <w:tc>
          <w:tcPr>
            <w:tcW w:type="dxa" w:w="5472"/>
            <w:vAlign w:val="top"/>
          </w:tcPr>
          <w:p>
            <w:pPr>
              <w:spacing w:before="0"/>
            </w:pPr>
            <w:r>
              <w:rPr>
                <w:i/>
                <w:color w:val="245E6F"/>
                <w:lang w:val="la"/>
              </w:rPr>
              <w:t>si res paulum mutaremus solo dandi amore,</w:t>
            </w:r>
          </w:p>
        </w:tc>
        <w:tc>
          <w:tcPr>
            <w:tcW w:type="dxa" w:w="5472"/>
            <w:vAlign w:val="top"/>
          </w:tcPr>
          <w:p>
            <w:pPr>
              <w:spacing w:before="0"/>
            </w:pPr>
            <w:r>
              <w:rPr>
                <w:lang w:val="fr-FR"/>
              </w:rPr>
              <w:t>Si l'on changeait les choses un peu, rien qu'en aimant donner</w:t>
            </w:r>
          </w:p>
        </w:tc>
      </w:tr>
      <w:tr>
        <w:trPr>
          <w:cantSplit/>
        </w:trPr>
        <w:tc>
          <w:tcPr>
            <w:tcW w:type="dxa" w:w="5472"/>
            <w:vAlign w:val="top"/>
          </w:tcPr>
          <w:p>
            <w:pPr>
              <w:spacing w:before="0"/>
            </w:pPr>
            <w:r>
              <w:rPr>
                <w:b/>
                <w:i/>
                <w:color w:val="245E6F"/>
                <w:lang w:val="la"/>
              </w:rPr>
              <w:t>Si mutuus amor satis esset, si satis esset amare,</w:t>
            </w:r>
          </w:p>
        </w:tc>
        <w:tc>
          <w:tcPr>
            <w:tcW w:type="dxa" w:w="5472"/>
            <w:vAlign w:val="top"/>
          </w:tcPr>
          <w:p>
            <w:pPr>
              <w:spacing w:before="0"/>
            </w:pPr>
            <w:r>
              <w:rPr>
                <w:lang w:val="fr-FR"/>
              </w:rPr>
              <w:t>S'il suffisait qu'on s'aime, s'il suffisait d'aimer</w:t>
            </w:r>
          </w:p>
        </w:tc>
      </w:tr>
      <w:tr>
        <w:trPr>
          <w:cantSplit/>
        </w:trPr>
        <w:tc>
          <w:tcPr>
            <w:tcW w:type="dxa" w:w="5472"/>
            <w:vAlign w:val="top"/>
          </w:tcPr>
          <w:p>
            <w:pPr>
              <w:spacing w:before="0"/>
            </w:pPr>
            <w:r>
              <w:rPr>
                <w:i/>
                <w:color w:val="245E6F"/>
                <w:lang w:val="la"/>
              </w:rPr>
              <w:t>hunc mundum in somnium, in aeternitatem verterem.</w:t>
            </w:r>
          </w:p>
        </w:tc>
        <w:tc>
          <w:tcPr>
            <w:tcW w:type="dxa" w:w="5472"/>
            <w:vAlign w:val="top"/>
          </w:tcPr>
          <w:p>
            <w:pPr>
              <w:spacing w:before="0"/>
            </w:pPr>
            <w:r>
              <w:rPr>
                <w:lang w:val="fr-FR"/>
              </w:rPr>
              <w:t>Je ferais de ce monde un rêve, une éternité</w:t>
            </w:r>
          </w:p>
        </w:tc>
      </w:tr>
      <w:tr>
        <w:trPr>
          <w:cantSplit/>
        </w:trPr>
        <w:tc>
          <w:tcPr>
            <w:tcW w:type="dxa" w:w="5472"/>
            <w:vAlign w:val="top"/>
          </w:tcPr>
          <w:p>
            <w:pPr>
              <w:spacing w:before="100"/>
            </w:pPr>
            <w:r>
              <w:rPr>
                <w:b/>
                <w:i/>
                <w:color w:val="245E6F"/>
                <w:lang w:val="la"/>
              </w:rPr>
              <w:t>Si mutuus amor satis esset, si satis esset amare,</w:t>
            </w:r>
          </w:p>
        </w:tc>
        <w:tc>
          <w:tcPr>
            <w:tcW w:type="dxa" w:w="5472"/>
            <w:vAlign w:val="top"/>
          </w:tcPr>
          <w:p>
            <w:pPr>
              <w:spacing w:before="100"/>
            </w:pPr>
            <w:r>
              <w:rPr>
                <w:lang w:val="fr-FR"/>
              </w:rPr>
              <w:t>S'il suffisait qu'on s'aime, s'il suffisait d'aimer</w:t>
            </w:r>
          </w:p>
        </w:tc>
      </w:tr>
      <w:tr>
        <w:trPr>
          <w:cantSplit/>
        </w:trPr>
        <w:tc>
          <w:tcPr>
            <w:tcW w:type="dxa" w:w="5472"/>
            <w:vAlign w:val="top"/>
          </w:tcPr>
          <w:p>
            <w:pPr>
              <w:spacing w:before="0"/>
            </w:pPr>
            <w:commentRangeStart w:id="18"/>
            <w:r>
              <w:rPr>
                <w:i/>
                <w:color w:val="245E6F"/>
                <w:lang w:val="la"/>
              </w:rPr>
              <w:t>si res mutare possemus et omnia denuo incipere,</w:t>
            </w:r>
            <w:commentRangeEnd w:id="18"/>
            <w:r>
              <w:rPr>
                <w:rStyle w:val="CommentReference"/>
              </w:rPr>
              <w:commentReference w:id="18"/>
            </w:r>
          </w:p>
        </w:tc>
        <w:tc>
          <w:tcPr>
            <w:tcW w:type="dxa" w:w="5472"/>
            <w:vAlign w:val="top"/>
          </w:tcPr>
          <w:p>
            <w:pPr>
              <w:spacing w:before="0"/>
            </w:pPr>
            <w:r>
              <w:rPr>
                <w:lang w:val="fr-FR"/>
              </w:rPr>
              <w:t>Si l'on pouvait changer les choses et tout recommencer</w:t>
            </w:r>
          </w:p>
        </w:tc>
      </w:tr>
      <w:tr>
        <w:trPr>
          <w:cantSplit/>
        </w:trPr>
        <w:tc>
          <w:tcPr>
            <w:tcW w:type="dxa" w:w="5472"/>
            <w:vAlign w:val="top"/>
          </w:tcPr>
          <w:p>
            <w:pPr>
              <w:spacing w:before="0"/>
            </w:pPr>
            <w:r>
              <w:rPr>
                <w:b/>
                <w:i/>
                <w:color w:val="245E6F"/>
                <w:lang w:val="la"/>
              </w:rPr>
              <w:t>Si mutuus amor satis esset, si satis esset amare,</w:t>
            </w:r>
          </w:p>
        </w:tc>
        <w:tc>
          <w:tcPr>
            <w:tcW w:type="dxa" w:w="5472"/>
            <w:vAlign w:val="top"/>
          </w:tcPr>
          <w:p>
            <w:pPr>
              <w:spacing w:before="0"/>
            </w:pPr>
            <w:r>
              <w:rPr>
                <w:lang w:val="fr-FR"/>
              </w:rPr>
              <w:t>S'il suffisait qu'on s'aime, s'il suffisait d'aimer</w:t>
            </w:r>
          </w:p>
        </w:tc>
      </w:tr>
      <w:tr>
        <w:trPr>
          <w:cantSplit/>
        </w:trPr>
        <w:tc>
          <w:tcPr>
            <w:tcW w:type="dxa" w:w="5472"/>
            <w:vAlign w:val="top"/>
          </w:tcPr>
          <w:p>
            <w:pPr>
              <w:spacing w:before="0"/>
            </w:pPr>
            <w:commentRangeStart w:id="19"/>
            <w:r>
              <w:rPr>
                <w:i/>
                <w:color w:val="245E6F"/>
                <w:lang w:val="la"/>
              </w:rPr>
              <w:t>ex hoc somnio mundum faceremus,</w:t>
            </w:r>
            <w:commentRangeEnd w:id="19"/>
            <w:r>
              <w:rPr>
                <w:rStyle w:val="CommentReference"/>
              </w:rPr>
              <w:commentReference w:id="19"/>
            </w:r>
          </w:p>
        </w:tc>
        <w:tc>
          <w:tcPr>
            <w:tcW w:type="dxa" w:w="5472"/>
            <w:vAlign w:val="top"/>
          </w:tcPr>
          <w:p>
            <w:pPr>
              <w:spacing w:before="0"/>
            </w:pPr>
            <w:r>
              <w:rPr>
                <w:lang w:val="fr-FR"/>
              </w:rPr>
              <w:t>Nous ferions de ce rêve un monde</w:t>
            </w:r>
          </w:p>
        </w:tc>
      </w:tr>
      <w:tr>
        <w:trPr>
          <w:cantSplit/>
        </w:trPr>
        <w:tc>
          <w:tcPr>
            <w:tcW w:type="dxa" w:w="5472"/>
            <w:vAlign w:val="top"/>
          </w:tcPr>
          <w:p>
            <w:pPr>
              <w:spacing w:before="0"/>
            </w:pPr>
            <w:commentRangeStart w:id="20"/>
            <w:r>
              <w:rPr>
                <w:b/>
                <w:i/>
                <w:color w:val="245E6F"/>
                <w:lang w:val="la"/>
              </w:rPr>
              <w:t>si satis esset amare.</w:t>
            </w:r>
            <w:commentRangeEnd w:id="20"/>
            <w:r>
              <w:rPr>
                <w:rStyle w:val="CommentReference"/>
              </w:rPr>
              <w:commentReference w:id="20"/>
            </w:r>
          </w:p>
        </w:tc>
        <w:tc>
          <w:tcPr>
            <w:tcW w:type="dxa" w:w="5472"/>
            <w:vAlign w:val="top"/>
          </w:tcPr>
          <w:p>
            <w:pPr>
              <w:spacing w:before="0"/>
            </w:pPr>
            <w:r>
              <w:rPr>
                <w:lang w:val="fr-FR"/>
              </w:rPr>
              <w:t>S'il suffisait d'aimer</w:t>
            </w:r>
          </w:p>
        </w:tc>
      </w:tr>
    </w:tbl>
    <w:sectPr w:rsidR="00FC693F" w:rsidRPr="0006063C" w:rsidSect="00034616">
      <w:pgSz w:w="12240" w:h="15840"/>
      <w:pgMar w:top="648" w:right="648" w:bottom="648" w:left="648" w:header="216" w:footer="216"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Notes de traduction" w:initials="NT" w:date="2026-10-16T17:59:54Z">
    <w:p>
      <w:pPr>
        <w:pStyle w:val="CommentText"/>
      </w:pPr>
      <w:r>
        <w:rPr>
          <w:rStyle w:val="CommentReference"/>
        </w:rPr>
        <w:annotationRef/>
      </w:r>
      <w:r>
        <w:t>Membratim describo développe « je décline son corps » en « je décris son corps membre par membre ». L’image est rendue comme une évocation détaillée, sans employer declino, qui risquerait de suggérer que l’on détourne ou infléchit le corps. Membratim est attesté au sens de « membre par membre » et, par extension, « point par point ». Lewis et Short, entrée membratim : https://alatius.com/ls/index.php?l=membratim</w:t>
      </w:r>
    </w:p>
  </w:comment>
  <w:comment w:id="1" w:author="Notes de traduction" w:initials="NT" w:date="2026-10-16T17:59:54Z">
    <w:p>
      <w:pPr>
        <w:pStyle w:val="CommentText"/>
      </w:pPr>
      <w:r>
        <w:rPr>
          <w:rStyle w:val="CommentReference"/>
        </w:rPr>
        <w:annotationRef/>
      </w:r>
      <w:r>
        <w:t>Mundus meus adapte « mon décor » en « mon univers ». Eum habitantem est à l’accusatif après fingo : « je me le représente en train d’habiter ». Le référent est choisi au masculin en latin, alors que le français lui ne précise pas ce genre.</w:t>
      </w:r>
    </w:p>
  </w:comment>
  <w:comment w:id="2" w:author="Notes de traduction" w:initials="NT" w:date="2026-10-16T17:59:54Z">
    <w:p>
      <w:pPr>
        <w:pStyle w:val="CommentText"/>
      </w:pPr>
      <w:r>
        <w:rPr>
          <w:rStyle w:val="CommentReference"/>
        </w:rPr>
        <w:annotationRef/>
      </w:r>
      <w:r>
        <w:t>Haberem quae ei dicerem : « j’aurais des choses à lui dire ». La relative au subjonctif exprime ce que je pourrais dire. Scivissem, plus-que-parfait du subjonctif, garde le regret portant sur le passé (« si j’avais su »), avec haberem pour sa conséquence présente. Cette condition mêle donc un irréel du passé et une conséquence dans le présent. Allen et Greenough, § 517 : https://dcc.dickinson.edu/grammar/latin/particular-conditions</w:t>
      </w:r>
    </w:p>
  </w:comment>
  <w:comment w:id="3" w:author="Notes de traduction" w:initials="NT" w:date="2026-10-16T17:59:54Z">
    <w:p>
      <w:pPr>
        <w:pStyle w:val="CommentText"/>
      </w:pPr>
      <w:r>
        <w:rPr>
          <w:rStyle w:val="CommentReference"/>
        </w:rPr>
        <w:annotationRef/>
      </w:r>
      <w:r>
        <w:t>Quomodo efficiam ut… signifie « comment faire en sorte que… ? ». Efficiam est compris comme un subjonctif délibératif ; legat est au subjonctif après efficere ut. Intimas cogitationes rend les pensées les plus profondes.</w:t>
      </w:r>
    </w:p>
  </w:comment>
  <w:comment w:id="4" w:author="Notes de traduction" w:initials="NT" w:date="2026-10-16T17:59:54Z">
    <w:p>
      <w:pPr>
        <w:pStyle w:val="CommentText"/>
      </w:pPr>
      <w:r>
        <w:rPr>
          <w:rStyle w:val="CommentReference"/>
        </w:rPr>
        <w:annotationRef/>
      </w:r>
      <w:r>
        <w:t>Aliis omnia prospere cedunt : « tout réussit aux autres ». La question française est resserrée en une proposition, ce qui évite le vague quomodo agunt (« comment agissent-ils ? »). Aliis est au datif ; omnia, neutre pluriel, est le sujet de cedunt ; prospere signifie « favorablement, avec succès ».</w:t>
      </w:r>
    </w:p>
  </w:comment>
  <w:comment w:id="5" w:author="Notes de traduction" w:initials="NT" w:date="2026-10-16T17:59:54Z">
    <w:p>
      <w:pPr>
        <w:pStyle w:val="CommentText"/>
      </w:pPr>
      <w:r>
        <w:rPr>
          <w:rStyle w:val="CommentReference"/>
        </w:rPr>
        <w:annotationRef/>
      </w:r>
      <w:r>
        <w:t>Indicet aliquis mihi… : « que quelqu’un m’indique… ». Indicet est un subjonctif présent actif à valeur de demande ; aliquis en est le sujet et mihi indique le destinataire. Errores meos et vanas spes sont les compléments à l’accusatif. Vanae spes (« espoirs illusoires ») rend le sens figuré de chimères.</w:t>
      </w:r>
    </w:p>
  </w:comment>
  <w:comment w:id="6" w:author="Notes de traduction" w:initials="NT" w:date="2026-10-16T17:59:54Z">
    <w:p>
      <w:pPr>
        <w:pStyle w:val="CommentText"/>
      </w:pPr>
      <w:r>
        <w:rPr>
          <w:rStyle w:val="CommentReference"/>
        </w:rPr>
        <w:annotationRef/>
      </w:r>
      <w:r>
        <w:t>Quamvis omnia dem rend « j’ai beau tout donner » par une concession au subjonctif. Ne omnia quidem signifie « pas même tout » ; les deux éléments ne et quidem encadrent le mot sur lequel porte la restriction.</w:t>
      </w:r>
    </w:p>
  </w:comment>
  <w:comment w:id="7" w:author="Notes de traduction" w:initials="NT" w:date="2026-10-16T17:59:54Z">
    <w:p>
      <w:pPr>
        <w:pStyle w:val="CommentText"/>
      </w:pPr>
      <w:r>
        <w:rPr>
          <w:rStyle w:val="CommentReference"/>
        </w:rPr>
        <w:annotationRef/>
      </w:r>
      <w:r>
        <w:t>Mutuus amor signifie « l’amour réciproque » : le groupe nominal adapte « qu’on s’aime », tandis que amare reste l’infinitif sujet de satis esset dans la seconde proposition. Esset, mutaremus et verterem sont à l’imparfait du subjonctif : le refrain est lu comme un irréel du présent, un monde souhaité que l’amour seul ne suffit pas à réaliser. Allen et Greenough, § 517 : https://dcc.dickinson.edu/grammar/latin/particular-conditions</w:t>
      </w:r>
    </w:p>
  </w:comment>
  <w:comment w:id="8" w:author="Notes de traduction" w:initials="NT" w:date="2026-10-16T17:59:54Z">
    <w:p>
      <w:pPr>
        <w:pStyle w:val="CommentText"/>
      </w:pPr>
      <w:r>
        <w:rPr>
          <w:rStyle w:val="CommentReference"/>
        </w:rPr>
        <w:annotationRef/>
      </w:r>
      <w:r>
        <w:t>Solo dandi amore : « par le seul amour de donner ». Amore est un ablatif de moyen ; dandi est le génitif du gérondif de dare. Cette lecture conserve la formulation fournie « en aimant donner », sans ajouter un et entre aimer et donner. Paulum est l’adverbe « un peu ».</w:t>
      </w:r>
    </w:p>
  </w:comment>
  <w:comment w:id="9" w:author="Notes de traduction" w:initials="NT" w:date="2026-10-16T17:59:54Z">
    <w:p>
      <w:pPr>
        <w:pStyle w:val="CommentText"/>
      </w:pPr>
      <w:r>
        <w:rPr>
          <w:rStyle w:val="CommentReference"/>
        </w:rPr>
        <w:annotationRef/>
      </w:r>
      <w:r>
        <w:t>Vertere in suivi de l’accusatif exprime la transformation : « je transformerais ce monde en un rêve, en une éternité ». Hunc mundum est le complément direct ; somnium et aeternitatem sont à l’accusatif après in.</w:t>
      </w:r>
    </w:p>
  </w:comment>
  <w:comment w:id="10" w:author="Notes de traduction" w:initials="NT" w:date="2026-10-16T17:59:54Z">
    <w:p>
      <w:pPr>
        <w:pStyle w:val="CommentText"/>
      </w:pPr>
      <w:r>
        <w:rPr>
          <w:rStyle w:val="CommentReference"/>
        </w:rPr>
        <w:annotationRef/>
      </w:r>
      <w:r>
        <w:t>Somniis meis… insunt : « il y a dans mes songes… ». Cette construction évite le calque « avoir du sang dans ses rêves ». Somniis meis est au datif après insunt ; sanguis et folium sont les sujets coordonnés, ce qui explique le pluriel du verbe. Floris folium aridum (« une feuille de fleur desséchée ») est une périphrase pour le pétale. Les deux images restent associées sans explication ajoutée.</w:t>
      </w:r>
    </w:p>
  </w:comment>
  <w:comment w:id="11" w:author="Notes de traduction" w:initials="NT" w:date="2026-10-16T17:59:54Z">
    <w:p>
      <w:pPr>
        <w:pStyle w:val="CommentText"/>
      </w:pPr>
      <w:r>
        <w:rPr>
          <w:rStyle w:val="CommentReference"/>
        </w:rPr>
        <w:annotationRef/>
      </w:r>
      <w:r>
        <w:t>Cum est ici temporel et suivi de l’indicatif rodunt (« quand les larmes me rongent »). Quas reprend lacrimae mais se met à l’accusatif, complément de fuderunt. Le parfait fuderunt situe les larmes des autres avant leur effet sur la narratrice.</w:t>
      </w:r>
    </w:p>
  </w:comment>
  <w:comment w:id="12" w:author="Notes de traduction" w:initials="NT" w:date="2026-10-16T17:59:54Z">
    <w:p>
      <w:pPr>
        <w:pStyle w:val="CommentText"/>
      </w:pPr>
      <w:r>
        <w:rPr>
          <w:rStyle w:val="CommentReference"/>
        </w:rPr>
        <w:annotationRef/>
      </w:r>
      <w:r>
        <w:t>Correction de sens : dans l’usage maritime, « sous le vent » désigne le côté opposé à celui d’où vient le vent. La formule précédente vento subest suggérait à tort une île soumise à son action. A vento tuta signifie « à l’abri du vent » : c’est la lecture retenue pour l’image de l’île. Le verbe est est sous-entendu dans la seconde proposition. Tuta s’accorde avec insula ; a vento est un complément de protection, non un complément d’agent. Non est undique clausa adapte « n’est pas étanche » en une vie que la souffrance extérieure peut pénétrer, même au sein d’un refuge. La lecture du vers reste poétique. Dictionnaire de l’Académie française, 9e édition, entrée sous : https://www.dictionnaire-academie.fr/article/A9S2325</w:t>
      </w:r>
    </w:p>
  </w:comment>
  <w:comment w:id="13" w:author="Notes de traduction" w:initials="NT" w:date="2026-10-16T17:59:54Z">
    <w:p>
      <w:pPr>
        <w:pStyle w:val="CommentText"/>
      </w:pPr>
      <w:r>
        <w:rPr>
          <w:rStyle w:val="CommentReference"/>
        </w:rPr>
        <w:annotationRef/>
      </w:r>
      <w:r>
        <w:t>Fores est un nom pluriel signifiant « portes ». Clausae s’accorde avec fores ; etiam clausae signifie « même fermées ». La traduction retient l’état des portes fermées plutôt que le mouvement de fermeture exprimé par en fermant.</w:t>
      </w:r>
    </w:p>
  </w:comment>
  <w:comment w:id="14" w:author="Notes de traduction" w:initials="NT" w:date="2026-10-16T17:59:54Z">
    <w:p>
      <w:pPr>
        <w:pStyle w:val="CommentText"/>
      </w:pPr>
      <w:r>
        <w:rPr>
          <w:rStyle w:val="CommentReference"/>
        </w:rPr>
        <w:annotationRef/>
      </w:r>
      <w:r>
        <w:t>Hortus puerorum : « jardin des enfants », lecture collective de l’expression fournie jardin d’enfant, dont l’orthographe française est conservée. Maenianum désigne un balcon ou une galerie en saillie. Les groupes prépositionnels et nominaux fragmentaires du français sont maintenus : vita mea tranquilla reste une évocation sans verbe principal exprimé. Lewis et Short, entrée Maenius, dérivé Maenianum : https://atlas.perseus.tufts.edu/dictionaries/entry/urn:cite2:scaife-viewer:dictionary-entries.atlas_v1:lat.ls.perseus-eng2-n27559/</w:t>
      </w:r>
    </w:p>
  </w:comment>
  <w:comment w:id="15" w:author="Notes de traduction" w:initials="NT" w:date="2026-10-16T17:59:54Z">
    <w:p>
      <w:pPr>
        <w:pStyle w:val="CommentText"/>
      </w:pPr>
      <w:r>
        <w:rPr>
          <w:rStyle w:val="CommentReference"/>
        </w:rPr>
        <w:annotationRef/>
      </w:r>
      <w:r>
        <w:t>Audio omnia corda pulsare : « j’entends tous les cœurs battre ». Corda est l’accusatif pluriel de cor et le sujet de l’infinitif pulsare. La personnification et l’écoute de la souffrance d’autrui sont conservées.</w:t>
      </w:r>
    </w:p>
  </w:comment>
  <w:comment w:id="16" w:author="Notes de traduction" w:initials="NT" w:date="2026-10-16T17:59:54Z">
    <w:p>
      <w:pPr>
        <w:pStyle w:val="CommentText"/>
      </w:pPr>
      <w:r>
        <w:rPr>
          <w:rStyle w:val="CommentReference"/>
        </w:rPr>
        <w:annotationRef/>
      </w:r>
      <w:r>
        <w:t>Nigrescunt choisit pour foncent le sens « deviennent sombres » plutôt que « se précipitent ». Malorum praesagia (« présages des malheurs ») est une apposition neutre plurielle à nubes, féminin pluriel : ces noms n’ont pas à avoir le même genre.</w:t>
      </w:r>
    </w:p>
  </w:comment>
  <w:comment w:id="17" w:author="Notes de traduction" w:initials="NT" w:date="2026-10-16T17:59:54Z">
    <w:p>
      <w:pPr>
        <w:pStyle w:val="CommentText"/>
      </w:pPr>
      <w:r>
        <w:rPr>
          <w:rStyle w:val="CommentReference"/>
        </w:rPr>
        <w:annotationRef/>
      </w:r>
      <w:r>
        <w:t>Terris timorum nostrorum conserve l’image des « pays de nos peurs ». Terris est au datif après respondent ; timorum nostrorum est le génitif pluriel. Les armes restent le sujet de la question, comme dans le texte français.</w:t>
      </w:r>
    </w:p>
  </w:comment>
  <w:comment w:id="18" w:author="Notes de traduction" w:initials="NT" w:date="2026-10-16T17:59:54Z">
    <w:p>
      <w:pPr>
        <w:pStyle w:val="CommentText"/>
      </w:pPr>
      <w:r>
        <w:rPr>
          <w:rStyle w:val="CommentReference"/>
        </w:rPr>
        <w:annotationRef/>
      </w:r>
      <w:r>
        <w:t>Possemus est l’imparfait du subjonctif de possum. Les infinitifs mutare et incipere en dépendent ; denuo signifie « de nouveau » et rend recommencer.</w:t>
      </w:r>
    </w:p>
  </w:comment>
  <w:comment w:id="19" w:author="Notes de traduction" w:initials="NT" w:date="2026-10-16T17:59:54Z">
    <w:p>
      <w:pPr>
        <w:pStyle w:val="CommentText"/>
      </w:pPr>
      <w:r>
        <w:rPr>
          <w:rStyle w:val="CommentReference"/>
        </w:rPr>
        <w:annotationRef/>
      </w:r>
      <w:r>
        <w:t>Ex hoc somnio mundum faceremus : « nous ferions un monde de ce rêve ». L’inversion finale est conservée : auparavant le monde devient rêve, désormais le rêve devient monde. Faceremus passe à la première personne du pluriel, conformément à nous.</w:t>
      </w:r>
    </w:p>
  </w:comment>
  <w:comment w:id="20" w:author="Notes de traduction" w:initials="NT" w:date="2026-10-16T17:59:54Z">
    <w:p>
      <w:pPr>
        <w:pStyle w:val="CommentText"/>
      </w:pPr>
      <w:r>
        <w:rPr>
          <w:rStyle w:val="CommentReference"/>
        </w:rPr>
        <w:annotationRef/>
      </w:r>
      <w:r>
        <w:t>Adaptation destinée à la lecture et à l’étude grammaticale. Les répétitions du texte fourni sont conservées. Ni une métrique latine régulière ni le calage syllabique sur la mélodie ne sont revendiqués.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val="0"/>
      <w:spacing w:before="0" w:after="0" w:line="280" w:lineRule="exact"/>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380" w:lineRule="exact"/>
      <w:contextualSpacing/>
    </w:pPr>
    <w:rPr>
      <w:rFonts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 suffisait d’aimer en latin</dc:title>
  <dc:subject>Adaptation latine et paroles françaises en regard</dc:subject>
  <dc:creator/>
  <cp:keywords/>
  <dc:description>Adaptation de lecture ; notes grammaticales et choix poétiques dans les commentaires.</dc:description>
  <cp:lastModifiedBy/>
  <cp:revision>1</cp:revision>
  <dcterms:created xsi:type="dcterms:W3CDTF">2013-12-23T23:15:00Z</dcterms:created>
  <dcterms:modified xsi:type="dcterms:W3CDTF">2013-12-23T23:15:00Z</dcterms:modified>
  <cp:category/>
</cp:coreProperties>
</file>