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0"/>
        <w:keepLines/>
        <w:spacing w:after="60" w:line="247" w:lineRule="auto"/>
        <w:jc w:val="center"/>
      </w:pPr>
      <w:r>
        <w:rPr>
          <w:rFonts w:ascii="Arial" w:hAnsi="Arial"/>
          <w:b w:val="0"/>
          <w:i w:val="0"/>
          <w:color w:val="AC2732"/>
          <w:sz w:val="18"/>
        </w:rPr>
        <w:t>CORRIGÉ ENSEIGNANT · RÉPONSES PROPOSÉES EN ROUGE</w:t>
      </w:r>
    </w:p>
    <w:p>
      <w:pPr>
        <w:keepNext w:val="0"/>
        <w:keepLines/>
        <w:spacing w:after="80" w:line="247" w:lineRule="auto"/>
        <w:jc w:val="center"/>
        <w:shd w:fill="F7F4ED"/>
      </w:pPr>
      <w:r>
        <w:rPr>
          <w:rFonts w:ascii="Arial" w:hAnsi="Arial"/>
          <w:b/>
          <w:i w:val="0"/>
          <w:color w:val="28675E"/>
          <w:sz w:val="39"/>
        </w:rPr>
        <w:t>SAMON • SAMAIN</w:t>
      </w:r>
    </w:p>
    <w:p>
      <w:pPr>
        <w:keepNext w:val="0"/>
        <w:keepLines/>
        <w:spacing w:after="100" w:line="247" w:lineRule="auto"/>
        <w:jc w:val="center"/>
      </w:pPr>
      <w:r>
        <w:rPr>
          <w:rFonts w:ascii="Arial" w:hAnsi="Arial"/>
          <w:b w:val="0"/>
          <w:i w:val="0"/>
          <w:color w:val="94602B"/>
          <w:sz w:val="19"/>
        </w:rPr>
        <w:t>UNE ENQUÊTE ENTRE LA GAULE ROMAINE ET L’IRLANDE MÉDIÉVALE • LATINISTES</w:t>
      </w:r>
    </w:p>
    <w:p>
      <w:pPr>
        <w:keepNext/>
        <w:keepLines/>
        <w:spacing w:after="40" w:line="247" w:lineRule="auto"/>
      </w:pPr>
      <w:r>
        <w:rPr>
          <w:rFonts w:ascii="Arial" w:hAnsi="Arial"/>
          <w:b/>
          <w:i w:val="0"/>
          <w:color w:val="25383A"/>
          <w:sz w:val="23"/>
        </w:rPr>
        <w:t>Question d’enquête : le mois gaulois SAMON prouve-t-il l’existence d’une fête de Samain dans la Gaule romaine ?</w:t>
      </w:r>
    </w:p>
    <w:p>
      <w:pPr>
        <w:pStyle w:val="Heading1"/>
      </w:pPr>
      <w:r>
        <w:t>1. Un calendrier gaulois, pas une description de fête</w:t>
      </w:r>
    </w:p>
    <w:p>
      <w:pPr>
        <w:keepNext w:val="0"/>
        <w:keepLines/>
        <w:spacing w:after="50" w:line="247" w:lineRule="auto"/>
      </w:pPr>
      <w:r>
        <w:rPr>
          <w:rFonts w:ascii="Arial" w:hAnsi="Arial"/>
          <w:b w:val="0"/>
          <w:i w:val="0"/>
          <w:color w:val="25383A"/>
          <w:sz w:val="23"/>
        </w:rPr>
        <w:t>Découvert à Coligny (Ain) en 1897, ce bronze organise cinq années selon les mois lunaires, avec des corrections liées au Soleil. Le musée Lugdunum le date de la seconde moitié du Ier siècle apr. J.-C.</w:t>
      </w:r>
    </w:p>
    <w:tbl>
      <w:tblPr>
        <w:tblW w:type="auto" w:w="0"/>
        <w:jc w:val="center"/>
        <w:tblLayout w:type="fixed"/>
        <w:tblLook w:firstColumn="1" w:firstRow="1" w:lastColumn="0" w:lastRow="0" w:noHBand="0" w:noVBand="1" w:val="04A0"/>
      </w:tblPr>
      <w:tblGrid>
        <w:gridCol w:w="5273"/>
        <w:gridCol w:w="5273"/>
      </w:tblGrid>
      <w:tr>
        <w:tc>
          <w:tcPr>
            <w:tcW w:type="dxa" w:w="5272"/>
            <w:tcMar>
              <w:top w:w="0" w:type="dxa"/>
              <w:left w:w="0" w:type="dxa"/>
              <w:bottom w:w="0" w:type="dxa"/>
              <w:right w:w="0" w:type="dxa"/>
            </w:tcMar>
          </w:tcPr>
          <w:p>
            <w:pPr>
              <w:keepNext/>
              <w:spacing w:after="20"/>
              <w:jc w:val="center"/>
            </w:pPr>
            <w:r>
              <w:drawing>
                <wp:inline xmlns:a="http://schemas.openxmlformats.org/drawingml/2006/main" xmlns:pic="http://schemas.openxmlformats.org/drawingml/2006/picture">
                  <wp:extent cx="2290523" cy="1872000"/>
                  <wp:docPr id="1" name="Picture 1" descr="A · SAMON"/>
                  <wp:cNvGraphicFramePr>
                    <a:graphicFrameLocks noChangeAspect="1"/>
                  </wp:cNvGraphicFramePr>
                  <a:graphic>
                    <a:graphicData uri="http://schemas.openxmlformats.org/drawingml/2006/picture">
                      <pic:pic>
                        <pic:nvPicPr>
                          <pic:cNvPr id="0" name="photo_samon.png"/>
                          <pic:cNvPicPr/>
                        </pic:nvPicPr>
                        <pic:blipFill>
                          <a:blip r:embed="rId10"/>
                          <a:stretch>
                            <a:fillRect/>
                          </a:stretch>
                        </pic:blipFill>
                        <pic:spPr>
                          <a:xfrm>
                            <a:off x="0" y="0"/>
                            <a:ext cx="2290523" cy="1872000"/>
                          </a:xfrm>
                          <a:prstGeom prst="rect"/>
                        </pic:spPr>
                      </pic:pic>
                    </a:graphicData>
                  </a:graphic>
                </wp:inline>
              </w:drawing>
            </w:r>
          </w:p>
          <w:p>
            <w:pPr>
              <w:keepNext w:val="0"/>
              <w:keepLines/>
              <w:spacing w:after="40" w:line="247" w:lineRule="auto"/>
              <w:jc w:val="center"/>
            </w:pPr>
            <w:r>
              <w:rPr>
                <w:rFonts w:ascii="Arial" w:hAnsi="Arial"/>
                <w:b w:val="0"/>
                <w:i w:val="0"/>
                <w:color w:val="536569"/>
                <w:sz w:val="20"/>
              </w:rPr>
              <w:t>A · SAMON</w:t>
            </w:r>
          </w:p>
        </w:tc>
        <w:tc>
          <w:tcPr>
            <w:tcW w:type="dxa" w:w="5272"/>
            <w:tcMar>
              <w:top w:w="0" w:type="dxa"/>
              <w:left w:w="0" w:type="dxa"/>
              <w:bottom w:w="0" w:type="dxa"/>
              <w:right w:w="0" w:type="dxa"/>
            </w:tcMar>
          </w:tcPr>
          <w:p>
            <w:pPr>
              <w:keepNext/>
              <w:spacing w:after="20"/>
              <w:jc w:val="center"/>
            </w:pPr>
            <w:r>
              <w:drawing>
                <wp:inline xmlns:a="http://schemas.openxmlformats.org/drawingml/2006/main" xmlns:pic="http://schemas.openxmlformats.org/drawingml/2006/picture">
                  <wp:extent cx="2817979" cy="1872000"/>
                  <wp:docPr id="2" name="Picture 2" descr="B · ATENOVX"/>
                  <wp:cNvGraphicFramePr>
                    <a:graphicFrameLocks noChangeAspect="1"/>
                  </wp:cNvGraphicFramePr>
                  <a:graphic>
                    <a:graphicData uri="http://schemas.openxmlformats.org/drawingml/2006/picture">
                      <pic:pic>
                        <pic:nvPicPr>
                          <pic:cNvPr id="0" name="photo_atenoux.png"/>
                          <pic:cNvPicPr/>
                        </pic:nvPicPr>
                        <pic:blipFill>
                          <a:blip r:embed="rId11"/>
                          <a:stretch>
                            <a:fillRect/>
                          </a:stretch>
                        </pic:blipFill>
                        <pic:spPr>
                          <a:xfrm>
                            <a:off x="0" y="0"/>
                            <a:ext cx="2817979" cy="1872000"/>
                          </a:xfrm>
                          <a:prstGeom prst="rect"/>
                        </pic:spPr>
                      </pic:pic>
                    </a:graphicData>
                  </a:graphic>
                </wp:inline>
              </w:drawing>
            </w:r>
          </w:p>
          <w:p>
            <w:pPr>
              <w:keepNext w:val="0"/>
              <w:keepLines/>
              <w:spacing w:after="40" w:line="247" w:lineRule="auto"/>
              <w:jc w:val="center"/>
            </w:pPr>
            <w:r>
              <w:rPr>
                <w:rFonts w:ascii="Arial" w:hAnsi="Arial"/>
                <w:b w:val="0"/>
                <w:i w:val="0"/>
                <w:color w:val="536569"/>
                <w:sz w:val="20"/>
              </w:rPr>
              <w:t>B · ATENOVX</w:t>
            </w:r>
          </w:p>
        </w:tc>
      </w:tr>
    </w:tbl>
    <w:p>
      <w:pPr>
        <w:keepNext w:val="0"/>
        <w:keepLines/>
        <w:spacing w:after="60" w:line="247" w:lineRule="auto"/>
      </w:pPr>
      <w:r>
        <w:rPr>
          <w:rFonts w:ascii="Arial" w:hAnsi="Arial"/>
          <w:b w:val="0"/>
          <w:i w:val="0"/>
          <w:color w:val="536569"/>
          <w:sz w:val="18"/>
        </w:rPr>
        <w:t>Photos A–B : calendrier de Coligny, musée Lugdunum. Images reprises du livret élèves.</w:t>
      </w:r>
    </w:p>
    <w:tbl>
      <w:tblPr>
        <w:tblW w:type="auto" w:w="0"/>
        <w:jc w:val="center"/>
        <w:tblLayout w:type="fixed"/>
        <w:tblLook w:firstColumn="1" w:firstRow="1" w:lastColumn="0" w:lastRow="0" w:noHBand="0" w:noVBand="1" w:val="04A0"/>
      </w:tblPr>
      <w:tblGrid>
        <w:gridCol w:w="10545"/>
      </w:tblGrid>
      <w:tr>
        <w:trPr>
          <w:cantSplit/>
        </w:trPr>
        <w:tc>
          <w:tcPr>
            <w:tcW w:type="dxa" w:w="10546"/>
            <w:shd w:fill="EDF4F0"/>
            <w:tcMar>
              <w:top w:w="70" w:type="dxa"/>
              <w:left w:w="70" w:type="dxa"/>
              <w:bottom w:w="70" w:type="dxa"/>
              <w:right w:w="70" w:type="dxa"/>
            </w:tcMar>
          </w:tcPr>
          <w:p>
            <w:pPr>
              <w:keepNext w:val="0"/>
              <w:keepLines/>
              <w:spacing w:after="40" w:line="247" w:lineRule="auto"/>
            </w:pPr>
            <w:r>
              <w:rPr>
                <w:rFonts w:ascii="Arial" w:hAnsi="Arial"/>
                <w:b/>
                <w:i w:val="0"/>
                <w:color w:val="94602B"/>
                <w:sz w:val="19"/>
              </w:rPr>
              <w:t>GAULOIS • CALENDRIER DE COLIGNY</w:t>
            </w:r>
          </w:p>
          <w:p>
            <w:pPr>
              <w:keepNext w:val="0"/>
              <w:keepLines/>
              <w:spacing w:after="40" w:line="247" w:lineRule="auto"/>
            </w:pPr>
            <w:r>
              <w:rPr>
                <w:rFonts w:ascii="Arial" w:hAnsi="Arial"/>
                <w:b w:val="0"/>
                <w:i/>
                <w:color w:val="28675E"/>
                <w:sz w:val="24"/>
              </w:rPr>
              <w:t>M SAMON MAT • ATENOVX</w:t>
            </w:r>
          </w:p>
          <w:p>
            <w:pPr>
              <w:keepNext w:val="0"/>
              <w:keepLines/>
              <w:spacing w:after="40" w:line="247" w:lineRule="auto"/>
            </w:pPr>
            <w:r>
              <w:rPr>
                <w:rFonts w:ascii="Arial" w:hAnsi="Arial"/>
                <w:b w:val="0"/>
                <w:i w:val="0"/>
                <w:color w:val="25383A"/>
                <w:sz w:val="23"/>
              </w:rPr>
              <w:t>SAMON est le nom abrégé d’un mois ; ATENOVX marque la deuxième partie d’un mois. Les mots sont gaulois, les caractères sont latins.</w:t>
            </w:r>
          </w:p>
          <w:p>
            <w:pPr>
              <w:keepNext w:val="0"/>
              <w:keepLines/>
              <w:spacing w:after="0" w:line="247" w:lineRule="auto"/>
            </w:pPr>
            <w:r>
              <w:rPr>
                <w:rFonts w:ascii="Arial" w:hAnsi="Arial"/>
                <w:b w:val="0"/>
                <w:i w:val="0"/>
                <w:color w:val="536569"/>
                <w:sz w:val="20"/>
              </w:rPr>
              <w:t>La formule « trinox samoni sindiu » est une restitution éditoriale : les notations gravées varient selon les années. Leur interprétation reste discutée.</w:t>
            </w:r>
          </w:p>
        </w:tc>
      </w:tr>
    </w:tbl>
    <w:p>
      <w:pPr>
        <w:spacing w:after="0" w:before="0" w:line="20" w:lineRule="exact"/>
      </w:pPr>
      <w:r>
        <w:rPr>
          <w:sz w:val="2"/>
        </w:rPr>
      </w:r>
    </w:p>
    <w:p>
      <w:pPr>
        <w:keepNext/>
        <w:keepLines/>
        <w:spacing w:after="40" w:line="247" w:lineRule="auto"/>
      </w:pPr>
      <w:r>
        <w:rPr>
          <w:rFonts w:ascii="Arial" w:hAnsi="Arial"/>
          <w:b/>
          <w:i w:val="0"/>
          <w:color w:val="25383A"/>
          <w:sz w:val="23"/>
        </w:rPr>
        <w:t>A. Observe les chiffres, les trous et les mots. Distingue la langue employée de l’alphabet utilisé.</w:t>
      </w:r>
    </w:p>
    <w:p>
      <w:pPr>
        <w:keepNext w:val="0"/>
        <w:keepLines/>
        <w:spacing w:after="80" w:line="247" w:lineRule="auto"/>
      </w:pPr>
      <w:r>
        <w:rPr>
          <w:rFonts w:ascii="Arial" w:hAnsi="Arial"/>
          <w:b w:val="0"/>
          <w:i w:val="0"/>
          <w:color w:val="AC2732"/>
          <w:sz w:val="23"/>
        </w:rPr>
        <w:t xml:space="preserve">La langue est le </w:t>
      </w:r>
      <w:r>
        <w:rPr>
          <w:rFonts w:ascii="Arial" w:hAnsi="Arial"/>
          <w:b/>
          <w:i w:val="0"/>
          <w:color w:val="AC2732"/>
          <w:sz w:val="23"/>
        </w:rPr>
        <w:t>gaulois</w:t>
      </w:r>
      <w:r>
        <w:rPr>
          <w:rFonts w:ascii="Arial" w:hAnsi="Arial"/>
          <w:b w:val="0"/>
          <w:i w:val="0"/>
          <w:color w:val="AC2732"/>
          <w:sz w:val="23"/>
        </w:rPr>
        <w:t>, écrit avec l’</w:t>
      </w:r>
      <w:r>
        <w:rPr>
          <w:rFonts w:ascii="Arial" w:hAnsi="Arial"/>
          <w:b/>
          <w:i w:val="0"/>
          <w:color w:val="AC2732"/>
          <w:sz w:val="23"/>
        </w:rPr>
        <w:t>alphabet latin</w:t>
      </w:r>
      <w:r>
        <w:rPr>
          <w:rFonts w:ascii="Arial" w:hAnsi="Arial"/>
          <w:b w:val="0"/>
          <w:i w:val="0"/>
          <w:color w:val="AC2732"/>
          <w:sz w:val="23"/>
        </w:rPr>
        <w:t>. On observe des chiffres romains (I, V, X), des mots comme « SAMON » et « ATENOVX », et des trous régulièrement disposés. Langue et alphabet ne se confondent pas.</w:t>
      </w:r>
    </w:p>
    <w:p>
      <w:pPr>
        <w:pStyle w:val="Heading1"/>
      </w:pPr>
      <w:r>
        <w:t>2. César : la nuit ouvre le temps</w:t>
      </w:r>
    </w:p>
    <w:tbl>
      <w:tblPr>
        <w:tblW w:type="auto" w:w="0"/>
        <w:jc w:val="center"/>
        <w:tblLayout w:type="fixed"/>
        <w:tblLook w:firstColumn="1" w:firstRow="1" w:lastColumn="0" w:lastRow="0" w:noHBand="0" w:noVBand="1" w:val="04A0"/>
      </w:tblPr>
      <w:tblGrid>
        <w:gridCol w:w="10545"/>
      </w:tblGrid>
      <w:tr>
        <w:trPr>
          <w:cantSplit/>
        </w:trPr>
        <w:tc>
          <w:tcPr>
            <w:tcW w:type="dxa" w:w="10546"/>
            <w:shd w:fill="EDF4F0"/>
            <w:tcMar>
              <w:top w:w="70" w:type="dxa"/>
              <w:left w:w="70" w:type="dxa"/>
              <w:bottom w:w="70" w:type="dxa"/>
              <w:right w:w="70" w:type="dxa"/>
            </w:tcMar>
          </w:tcPr>
          <w:p>
            <w:pPr>
              <w:keepNext w:val="0"/>
              <w:keepLines/>
              <w:spacing w:after="40" w:line="247" w:lineRule="auto"/>
            </w:pPr>
            <w:r>
              <w:rPr>
                <w:rFonts w:ascii="Arial" w:hAnsi="Arial"/>
                <w:b/>
                <w:i w:val="0"/>
                <w:color w:val="94602B"/>
                <w:sz w:val="19"/>
              </w:rPr>
              <w:t>LATIN • CÉSAR, GUERRE DES GAULES, VI, 18, 2</w:t>
            </w:r>
          </w:p>
          <w:p>
            <w:pPr>
              <w:keepNext w:val="0"/>
              <w:keepLines/>
              <w:spacing w:after="40" w:line="247" w:lineRule="auto"/>
            </w:pPr>
            <w:r>
              <w:rPr>
                <w:rFonts w:ascii="Arial" w:hAnsi="Arial"/>
                <w:b w:val="0"/>
                <w:i/>
                <w:color w:val="28675E"/>
                <w:sz w:val="24"/>
              </w:rPr>
              <w:t>Ob eam causam spatia omnis temporis non numero dierum sed noctium finiunt; […] ut noctem dies subsequatur.</w:t>
            </w:r>
          </w:p>
          <w:p>
            <w:pPr>
              <w:keepNext w:val="0"/>
              <w:keepLines/>
              <w:spacing w:after="40" w:line="247" w:lineRule="auto"/>
            </w:pPr>
            <w:r>
              <w:rPr>
                <w:rFonts w:ascii="Arial" w:hAnsi="Arial"/>
                <w:b w:val="0"/>
                <w:i w:val="0"/>
                <w:color w:val="25383A"/>
                <w:sz w:val="23"/>
              </w:rPr>
              <w:t>« Pour cette raison, ils délimitent le temps non par le nombre des jours, mais par celui des nuits ; […] de sorte que le jour suive la nuit. »</w:t>
            </w:r>
          </w:p>
          <w:p>
            <w:pPr>
              <w:keepNext w:val="0"/>
              <w:keepLines/>
              <w:spacing w:after="0" w:line="247" w:lineRule="auto"/>
            </w:pPr>
            <w:r>
              <w:rPr>
                <w:rFonts w:ascii="Arial" w:hAnsi="Arial"/>
                <w:b w:val="0"/>
                <w:i w:val="0"/>
                <w:color w:val="536569"/>
                <w:sz w:val="20"/>
              </w:rPr>
              <w:t>non… sed… : « non… mais… » ; noctium : génitif pluriel de nox, « nuit ». César ne nomme pas Samain.</w:t>
            </w:r>
          </w:p>
        </w:tc>
      </w:tr>
    </w:tbl>
    <w:p>
      <w:pPr>
        <w:spacing w:after="0" w:before="0" w:line="20" w:lineRule="exact"/>
      </w:pPr>
      <w:r>
        <w:rPr>
          <w:sz w:val="2"/>
        </w:rPr>
      </w:r>
    </w:p>
    <w:p>
      <w:pPr>
        <w:keepNext/>
        <w:keepLines/>
        <w:spacing w:after="40" w:line="247" w:lineRule="auto"/>
      </w:pPr>
      <w:r>
        <w:rPr>
          <w:rFonts w:ascii="Arial" w:hAnsi="Arial"/>
          <w:b/>
          <w:i w:val="0"/>
          <w:color w:val="25383A"/>
          <w:sz w:val="23"/>
        </w:rPr>
        <w:t>B. Selon César, qu’est-ce qui vient en premier : le jour ou la nuit ? Cite deux mots latins.</w:t>
      </w:r>
    </w:p>
    <w:p>
      <w:pPr>
        <w:keepNext w:val="0"/>
        <w:keepLines/>
        <w:spacing w:after="80" w:line="247" w:lineRule="auto"/>
      </w:pPr>
      <w:r>
        <w:rPr>
          <w:rFonts w:ascii="Arial" w:hAnsi="Arial"/>
          <w:b w:val="0"/>
          <w:i w:val="0"/>
          <w:color w:val="AC2732"/>
          <w:sz w:val="23"/>
        </w:rPr>
        <w:t xml:space="preserve">La </w:t>
      </w:r>
      <w:r>
        <w:rPr>
          <w:rFonts w:ascii="Arial" w:hAnsi="Arial"/>
          <w:b/>
          <w:i w:val="0"/>
          <w:color w:val="AC2732"/>
          <w:sz w:val="23"/>
        </w:rPr>
        <w:t>nuit</w:t>
      </w:r>
      <w:r>
        <w:rPr>
          <w:rFonts w:ascii="Arial" w:hAnsi="Arial"/>
          <w:b w:val="0"/>
          <w:i w:val="0"/>
          <w:color w:val="AC2732"/>
          <w:sz w:val="23"/>
        </w:rPr>
        <w:t xml:space="preserve"> vient d’abord, puis le jour : </w:t>
      </w:r>
      <w:r>
        <w:rPr>
          <w:rFonts w:ascii="Arial" w:hAnsi="Arial"/>
          <w:b/>
          <w:i w:val="0"/>
          <w:color w:val="AC2732"/>
          <w:sz w:val="23"/>
        </w:rPr>
        <w:t>« noctem »</w:t>
      </w:r>
      <w:r>
        <w:rPr>
          <w:rFonts w:ascii="Arial" w:hAnsi="Arial"/>
          <w:b w:val="0"/>
          <w:i w:val="0"/>
          <w:color w:val="AC2732"/>
          <w:sz w:val="23"/>
        </w:rPr>
        <w:t xml:space="preserve"> (« la nuit ») et </w:t>
      </w:r>
      <w:r>
        <w:rPr>
          <w:rFonts w:ascii="Arial" w:hAnsi="Arial"/>
          <w:b/>
          <w:i w:val="0"/>
          <w:color w:val="AC2732"/>
          <w:sz w:val="23"/>
        </w:rPr>
        <w:t>« dies »</w:t>
      </w:r>
      <w:r>
        <w:rPr>
          <w:rFonts w:ascii="Arial" w:hAnsi="Arial"/>
          <w:b w:val="0"/>
          <w:i w:val="0"/>
          <w:color w:val="AC2732"/>
          <w:sz w:val="23"/>
        </w:rPr>
        <w:t xml:space="preserve"> (« le jour »). Dans « noctem dies subsequatur », le jour est le sujet de « suive » ; la nuit est son complément.</w:t>
      </w:r>
    </w:p>
    <w:p>
      <w:pPr>
        <w:keepNext w:val="0"/>
        <w:keepLines/>
        <w:spacing w:after="60" w:line="247" w:lineRule="auto"/>
      </w:pPr>
      <w:r>
        <w:rPr>
          <w:rFonts w:ascii="Arial" w:hAnsi="Arial"/>
          <w:b/>
          <w:i w:val="0"/>
          <w:color w:val="536569"/>
          <w:sz w:val="20"/>
        </w:rPr>
        <w:t>Pour l’enseignant.</w:t>
      </w:r>
      <w:r>
        <w:rPr>
          <w:rFonts w:ascii="Arial" w:hAnsi="Arial"/>
          <w:b w:val="0"/>
          <w:i w:val="0"/>
          <w:color w:val="536569"/>
          <w:sz w:val="20"/>
        </w:rPr>
        <w:t xml:space="preserve"> Distinguer langue et alphabet. Chez César, « dies » est sujet ; « noctem » est à l’accusatif. Le calendrier ne prouve ni une date du 31 octobre, ni des déguisements, ni un retour annuel des morts.</w:t>
      </w:r>
    </w:p>
    <w:p>
      <w:r>
        <w:br w:type="page"/>
      </w:r>
    </w:p>
    <w:p>
      <w:pPr>
        <w:keepNext w:val="0"/>
        <w:keepLines/>
        <w:spacing w:after="60" w:line="247" w:lineRule="auto"/>
        <w:jc w:val="center"/>
      </w:pPr>
      <w:r>
        <w:rPr>
          <w:rFonts w:ascii="Arial" w:hAnsi="Arial"/>
          <w:b w:val="0"/>
          <w:i w:val="0"/>
          <w:color w:val="AC2732"/>
          <w:sz w:val="18"/>
        </w:rPr>
        <w:t>CORRIGÉ ENSEIGNANT · RÉPONSES PROPOSÉES EN ROUGE</w:t>
      </w:r>
    </w:p>
    <w:p>
      <w:pPr>
        <w:keepNext w:val="0"/>
        <w:keepLines/>
        <w:spacing w:after="80" w:line="247" w:lineRule="auto"/>
        <w:jc w:val="center"/>
        <w:shd w:fill="F7F4ED"/>
      </w:pPr>
      <w:r>
        <w:rPr>
          <w:rFonts w:ascii="Arial" w:hAnsi="Arial"/>
          <w:b/>
          <w:i w:val="0"/>
          <w:color w:val="28675E"/>
          <w:sz w:val="39"/>
        </w:rPr>
        <w:t>ÂMES, LUNE ET MÉMOIRE DES MORTS</w:t>
      </w:r>
    </w:p>
    <w:p>
      <w:pPr>
        <w:keepNext w:val="0"/>
        <w:keepLines/>
        <w:spacing w:after="100" w:line="247" w:lineRule="auto"/>
        <w:jc w:val="center"/>
      </w:pPr>
      <w:r>
        <w:rPr>
          <w:rFonts w:ascii="Arial" w:hAnsi="Arial"/>
          <w:b w:val="0"/>
          <w:i w:val="0"/>
          <w:color w:val="94602B"/>
          <w:sz w:val="19"/>
        </w:rPr>
        <w:t>LIRE DES AUTEURS LATINS • OBSERVER UN VESTIGE • NE PAS CONFONDRE LES RITES</w:t>
      </w:r>
    </w:p>
    <w:p>
      <w:pPr>
        <w:pStyle w:val="Heading1"/>
      </w:pPr>
      <w:r>
        <w:t>3. Ce que rapportent les auteurs romains</w:t>
      </w:r>
    </w:p>
    <w:tbl>
      <w:tblPr>
        <w:tblW w:type="auto" w:w="0"/>
        <w:jc w:val="center"/>
        <w:tblLayout w:type="fixed"/>
        <w:tblLook w:firstColumn="1" w:firstRow="1" w:lastColumn="0" w:lastRow="0" w:noHBand="0" w:noVBand="1" w:val="04A0"/>
      </w:tblPr>
      <w:tblGrid>
        <w:gridCol w:w="10545"/>
      </w:tblGrid>
      <w:tr>
        <w:trPr>
          <w:cantSplit/>
        </w:trPr>
        <w:tc>
          <w:tcPr>
            <w:tcW w:type="dxa" w:w="10546"/>
            <w:shd w:fill="EDF4F0"/>
            <w:tcMar>
              <w:top w:w="70" w:type="dxa"/>
              <w:left w:w="70" w:type="dxa"/>
              <w:bottom w:w="70" w:type="dxa"/>
              <w:right w:w="70" w:type="dxa"/>
            </w:tcMar>
          </w:tcPr>
          <w:p>
            <w:pPr>
              <w:keepNext w:val="0"/>
              <w:keepLines/>
              <w:spacing w:after="40" w:line="247" w:lineRule="auto"/>
            </w:pPr>
            <w:r>
              <w:rPr>
                <w:rFonts w:ascii="Arial" w:hAnsi="Arial"/>
                <w:b/>
                <w:i w:val="0"/>
                <w:color w:val="94602B"/>
                <w:sz w:val="19"/>
              </w:rPr>
              <w:t>LATIN • CÉSAR, GUERRE DES GAULES, VI, 14, 5</w:t>
            </w:r>
          </w:p>
          <w:p>
            <w:pPr>
              <w:keepNext w:val="0"/>
              <w:keepLines/>
              <w:spacing w:after="40" w:line="247" w:lineRule="auto"/>
            </w:pPr>
            <w:r>
              <w:rPr>
                <w:rFonts w:ascii="Arial" w:hAnsi="Arial"/>
                <w:b w:val="0"/>
                <w:i/>
                <w:color w:val="28675E"/>
                <w:sz w:val="24"/>
              </w:rPr>
              <w:t>In primis hoc volunt persuadere, non interire animas, sed ab aliis post mortem transire ad alios.</w:t>
            </w:r>
          </w:p>
          <w:p>
            <w:pPr>
              <w:keepNext w:val="0"/>
              <w:keepLines/>
              <w:spacing w:after="40" w:line="247" w:lineRule="auto"/>
            </w:pPr>
            <w:r>
              <w:rPr>
                <w:rFonts w:ascii="Arial" w:hAnsi="Arial"/>
                <w:b w:val="0"/>
                <w:i w:val="0"/>
                <w:color w:val="25383A"/>
                <w:sz w:val="23"/>
              </w:rPr>
              <w:t>« Ils cherchent surtout à faire admettre que les âmes ne périssent pas, mais qu’après la mort elles passent des uns aux autres. »</w:t>
            </w:r>
          </w:p>
          <w:p>
            <w:pPr>
              <w:keepNext w:val="0"/>
              <w:keepLines/>
              <w:spacing w:after="0" w:line="247" w:lineRule="auto"/>
            </w:pPr>
            <w:r>
              <w:rPr>
                <w:rFonts w:ascii="Arial" w:hAnsi="Arial"/>
                <w:b w:val="0"/>
                <w:i w:val="0"/>
                <w:color w:val="536569"/>
                <w:sz w:val="20"/>
              </w:rPr>
              <w:t>animas : accusatif pluriel ; interire et transire : infinitifs. Ce passage ne décrit pas un retour annuel des morts.</w:t>
            </w:r>
          </w:p>
        </w:tc>
      </w:tr>
    </w:tbl>
    <w:p>
      <w:pPr>
        <w:spacing w:after="0" w:before="0" w:line="20" w:lineRule="exact"/>
      </w:pPr>
      <w:r>
        <w:rPr>
          <w:sz w:val="2"/>
        </w:rPr>
      </w:r>
    </w:p>
    <w:tbl>
      <w:tblPr>
        <w:tblW w:type="auto" w:w="0"/>
        <w:jc w:val="center"/>
        <w:tblLayout w:type="fixed"/>
        <w:tblLook w:firstColumn="1" w:firstRow="1" w:lastColumn="0" w:lastRow="0" w:noHBand="0" w:noVBand="1" w:val="04A0"/>
      </w:tblPr>
      <w:tblGrid>
        <w:gridCol w:w="10545"/>
      </w:tblGrid>
      <w:tr>
        <w:trPr>
          <w:cantSplit/>
        </w:trPr>
        <w:tc>
          <w:tcPr>
            <w:tcW w:type="dxa" w:w="10546"/>
            <w:shd w:fill="EDF4F0"/>
            <w:tcMar>
              <w:top w:w="70" w:type="dxa"/>
              <w:left w:w="70" w:type="dxa"/>
              <w:bottom w:w="70" w:type="dxa"/>
              <w:right w:w="70" w:type="dxa"/>
            </w:tcMar>
          </w:tcPr>
          <w:p>
            <w:pPr>
              <w:keepNext w:val="0"/>
              <w:keepLines/>
              <w:spacing w:after="40" w:line="247" w:lineRule="auto"/>
            </w:pPr>
            <w:r>
              <w:rPr>
                <w:rFonts w:ascii="Arial" w:hAnsi="Arial"/>
                <w:b/>
                <w:i w:val="0"/>
                <w:color w:val="94602B"/>
                <w:sz w:val="19"/>
              </w:rPr>
              <w:t>LATIN • PLINE L’ANCIEN, HISTOIRE NATURELLE, XVI, 250</w:t>
            </w:r>
          </w:p>
          <w:p>
            <w:pPr>
              <w:keepNext w:val="0"/>
              <w:keepLines/>
              <w:spacing w:after="40" w:line="247" w:lineRule="auto"/>
            </w:pPr>
            <w:r>
              <w:rPr>
                <w:rFonts w:ascii="Arial" w:hAnsi="Arial"/>
                <w:b w:val="0"/>
                <w:i/>
                <w:color w:val="28675E"/>
                <w:sz w:val="24"/>
              </w:rPr>
              <w:t>… et ante omnia sexta luna, quae principia mensum annorumque his facit …</w:t>
            </w:r>
          </w:p>
          <w:p>
            <w:pPr>
              <w:keepNext w:val="0"/>
              <w:keepLines/>
              <w:spacing w:after="40" w:line="247" w:lineRule="auto"/>
            </w:pPr>
            <w:r>
              <w:rPr>
                <w:rFonts w:ascii="Arial" w:hAnsi="Arial"/>
                <w:b w:val="0"/>
                <w:i w:val="0"/>
                <w:color w:val="25383A"/>
                <w:sz w:val="23"/>
              </w:rPr>
              <w:t>« … et surtout au sixième jour de la lune, qui marque chez eux le début des mois et des années… »</w:t>
            </w:r>
          </w:p>
          <w:p>
            <w:pPr>
              <w:keepNext w:val="0"/>
              <w:keepLines/>
              <w:spacing w:after="0" w:line="247" w:lineRule="auto"/>
            </w:pPr>
            <w:r>
              <w:rPr>
                <w:rFonts w:ascii="Arial" w:hAnsi="Arial"/>
                <w:b w:val="0"/>
                <w:i w:val="0"/>
                <w:color w:val="536569"/>
                <w:sz w:val="20"/>
              </w:rPr>
              <w:t>sexta luna : « à la sixième lune » ; mensum et annorum : génitifs pluriels. Pline décrit la cueillette du gui, pas Samain.</w:t>
            </w:r>
          </w:p>
        </w:tc>
      </w:tr>
    </w:tbl>
    <w:p>
      <w:pPr>
        <w:spacing w:after="0" w:before="0" w:line="20" w:lineRule="exact"/>
      </w:pPr>
      <w:r>
        <w:rPr>
          <w:sz w:val="2"/>
        </w:rPr>
      </w:r>
    </w:p>
    <w:p>
      <w:pPr>
        <w:pStyle w:val="Heading1"/>
      </w:pPr>
      <w:r>
        <w:t>4. Chez les Romains, le souvenir des défunts</w:t>
      </w:r>
    </w:p>
    <w:tbl>
      <w:tblPr>
        <w:tblW w:type="auto" w:w="0"/>
        <w:jc w:val="center"/>
        <w:tblLayout w:type="fixed"/>
        <w:tblLook w:firstColumn="1" w:firstRow="1" w:lastColumn="0" w:lastRow="0" w:noHBand="0" w:noVBand="1" w:val="04A0"/>
      </w:tblPr>
      <w:tblGrid>
        <w:gridCol w:w="3118"/>
        <w:gridCol w:w="7427"/>
      </w:tblGrid>
      <w:tr>
        <w:trPr>
          <w:cantSplit/>
        </w:trPr>
        <w:tc>
          <w:tcPr>
            <w:tcW w:type="dxa" w:w="5273"/>
            <w:tcMar>
              <w:top w:w="50" w:type="dxa"/>
              <w:left w:w="50" w:type="dxa"/>
              <w:bottom w:w="50" w:type="dxa"/>
              <w:right w:w="50" w:type="dxa"/>
            </w:tcMar>
            <w:vAlign w:val="top"/>
          </w:tcPr>
          <w:p>
            <w:pPr>
              <w:keepNext/>
              <w:spacing w:after="20"/>
              <w:jc w:val="center"/>
            </w:pPr>
            <w:r>
              <w:drawing>
                <wp:inline xmlns:a="http://schemas.openxmlformats.org/drawingml/2006/main" xmlns:pic="http://schemas.openxmlformats.org/drawingml/2006/picture">
                  <wp:extent cx="1669846" cy="2268000"/>
                  <wp:docPr id="3" name="Picture 3" descr="Photo C · Stèle funéraire gallo-romaine, musée Carnavalet / Paris."/>
                  <wp:cNvGraphicFramePr>
                    <a:graphicFrameLocks noChangeAspect="1"/>
                  </wp:cNvGraphicFramePr>
                  <a:graphic>
                    <a:graphicData uri="http://schemas.openxmlformats.org/drawingml/2006/picture">
                      <pic:pic>
                        <pic:nvPicPr>
                          <pic:cNvPr id="0" name="stele.png"/>
                          <pic:cNvPicPr/>
                        </pic:nvPicPr>
                        <pic:blipFill>
                          <a:blip r:embed="rId12"/>
                          <a:stretch>
                            <a:fillRect/>
                          </a:stretch>
                        </pic:blipFill>
                        <pic:spPr>
                          <a:xfrm>
                            <a:off x="0" y="0"/>
                            <a:ext cx="1669846" cy="2268000"/>
                          </a:xfrm>
                          <a:prstGeom prst="rect"/>
                        </pic:spPr>
                      </pic:pic>
                    </a:graphicData>
                  </a:graphic>
                </wp:inline>
              </w:drawing>
            </w:r>
          </w:p>
          <w:p>
            <w:pPr>
              <w:keepNext w:val="0"/>
              <w:keepLines/>
              <w:spacing w:after="40" w:line="247" w:lineRule="auto"/>
              <w:jc w:val="center"/>
            </w:pPr>
            <w:r>
              <w:rPr>
                <w:rFonts w:ascii="Arial" w:hAnsi="Arial"/>
                <w:b w:val="0"/>
                <w:i w:val="0"/>
                <w:color w:val="536569"/>
                <w:sz w:val="17"/>
              </w:rPr>
              <w:t>Photo C · Stèle funéraire gallo-romaine, musée Carnavalet / Paris.</w:t>
            </w:r>
          </w:p>
        </w:tc>
        <w:tc>
          <w:tcPr>
            <w:tcW w:type="dxa" w:w="5273"/>
            <w:tcMar>
              <w:top w:w="50" w:type="dxa"/>
              <w:left w:w="50" w:type="dxa"/>
              <w:bottom w:w="50" w:type="dxa"/>
              <w:right w:w="50" w:type="dxa"/>
            </w:tcMar>
            <w:vAlign w:val="top"/>
          </w:tcPr>
          <w:p>
            <w:pPr>
              <w:keepNext w:val="0"/>
              <w:keepLines/>
              <w:spacing w:after="50" w:line="247" w:lineRule="auto"/>
            </w:pPr>
            <w:r>
              <w:rPr>
                <w:rFonts w:ascii="Arial" w:hAnsi="Arial"/>
                <w:b w:val="0"/>
                <w:i w:val="0"/>
                <w:color w:val="25383A"/>
                <w:sz w:val="23"/>
              </w:rPr>
              <w:t>À Rome, les Parentalia et les Feralia se déroulent en février. Ces fêtes du calendrier romain ne sont pas identiques à Samain.</w:t>
            </w:r>
          </w:p>
          <w:p>
            <w:pPr>
              <w:keepNext/>
              <w:keepLines/>
              <w:spacing w:after="40" w:line="247" w:lineRule="auto"/>
            </w:pPr>
            <w:r>
              <w:rPr>
                <w:rFonts w:ascii="Arial" w:hAnsi="Arial"/>
                <w:b/>
                <w:i w:val="0"/>
                <w:color w:val="25383A"/>
                <w:sz w:val="23"/>
              </w:rPr>
              <w:t>C. Décris les vêtements et un geste des deux personnages. Quel souvenir ce monument conserve-t-il ?</w:t>
            </w:r>
          </w:p>
          <w:p>
            <w:pPr>
              <w:keepNext w:val="0"/>
              <w:keepLines/>
              <w:spacing w:after="80" w:line="247" w:lineRule="auto"/>
            </w:pPr>
            <w:r>
              <w:rPr>
                <w:rFonts w:ascii="Arial" w:hAnsi="Arial"/>
                <w:b w:val="0"/>
                <w:i w:val="0"/>
                <w:color w:val="AC2732"/>
                <w:sz w:val="23"/>
              </w:rPr>
              <w:t>Les deux personnages portent des vêtements longs et drapés ; celui de gauche a la tête couverte. Il tend un avant-bras vers l’autre personnage. La stèle conserve l’image et le souvenir des défunts représentés.</w:t>
            </w:r>
          </w:p>
          <w:p>
            <w:pPr>
              <w:keepNext w:val="0"/>
              <w:keepLines/>
              <w:spacing w:after="60" w:line="247" w:lineRule="auto"/>
            </w:pPr>
            <w:r>
              <w:rPr>
                <w:rFonts w:ascii="Arial" w:hAnsi="Arial"/>
                <w:b/>
                <w:i w:val="0"/>
                <w:color w:val="536569"/>
                <w:sz w:val="20"/>
              </w:rPr>
              <w:t>Pour l’enseignant.</w:t>
            </w:r>
            <w:r>
              <w:rPr>
                <w:rFonts w:ascii="Arial" w:hAnsi="Arial"/>
                <w:b w:val="0"/>
                <w:i w:val="0"/>
                <w:color w:val="536569"/>
                <w:sz w:val="20"/>
              </w:rPr>
              <w:t xml:space="preserve"> Accepter toute description fondée sur ce qui est visible. Le détail du contact des mains est usé : ne pas imposer l’identification d’un geste précis. La stèle ne montre pas une cérémonie de Samain.</w:t>
            </w:r>
          </w:p>
        </w:tc>
      </w:tr>
    </w:tbl>
    <w:tbl>
      <w:tblPr>
        <w:tblW w:type="auto" w:w="0"/>
        <w:jc w:val="center"/>
        <w:tblLayout w:type="fixed"/>
        <w:tblLook w:firstColumn="1" w:firstRow="1" w:lastColumn="0" w:lastRow="0" w:noHBand="0" w:noVBand="1" w:val="04A0"/>
      </w:tblPr>
      <w:tblGrid>
        <w:gridCol w:w="10545"/>
      </w:tblGrid>
      <w:tr>
        <w:trPr>
          <w:cantSplit/>
        </w:trPr>
        <w:tc>
          <w:tcPr>
            <w:tcW w:type="dxa" w:w="10546"/>
            <w:shd w:fill="EDF4F0"/>
            <w:tcMar>
              <w:top w:w="70" w:type="dxa"/>
              <w:left w:w="70" w:type="dxa"/>
              <w:bottom w:w="70" w:type="dxa"/>
              <w:right w:w="70" w:type="dxa"/>
            </w:tcMar>
          </w:tcPr>
          <w:p>
            <w:pPr>
              <w:keepNext w:val="0"/>
              <w:keepLines/>
              <w:spacing w:after="40" w:line="247" w:lineRule="auto"/>
            </w:pPr>
            <w:r>
              <w:rPr>
                <w:rFonts w:ascii="Arial" w:hAnsi="Arial"/>
                <w:b/>
                <w:i w:val="0"/>
                <w:color w:val="94602B"/>
                <w:sz w:val="19"/>
              </w:rPr>
              <w:t>LATIN • OVIDE, FASTES, II, 533–534</w:t>
            </w:r>
          </w:p>
          <w:p>
            <w:pPr>
              <w:keepNext w:val="0"/>
              <w:keepLines/>
              <w:spacing w:after="40" w:line="247" w:lineRule="auto"/>
            </w:pPr>
            <w:r>
              <w:rPr>
                <w:rFonts w:ascii="Arial" w:hAnsi="Arial"/>
                <w:b w:val="0"/>
                <w:i/>
                <w:color w:val="28675E"/>
                <w:sz w:val="24"/>
              </w:rPr>
              <w:t>Est honor et tumulis. Animas placate paternas,</w:t>
            </w:r>
            <w:r>
              <w:br/>
            </w:r>
            <w:r>
              <w:rPr>
                <w:rFonts w:ascii="Arial" w:hAnsi="Arial"/>
                <w:b w:val="0"/>
                <w:i/>
                <w:color w:val="28675E"/>
                <w:sz w:val="24"/>
              </w:rPr>
              <w:t>parvaque in extinctas munera ferte pyras.</w:t>
            </w:r>
          </w:p>
          <w:p>
            <w:pPr>
              <w:keepNext w:val="0"/>
              <w:keepLines/>
              <w:spacing w:after="40" w:line="247" w:lineRule="auto"/>
            </w:pPr>
            <w:r>
              <w:rPr>
                <w:rFonts w:ascii="Arial" w:hAnsi="Arial"/>
                <w:b w:val="0"/>
                <w:i w:val="0"/>
                <w:color w:val="25383A"/>
                <w:sz w:val="23"/>
              </w:rPr>
              <w:t>« Les tombeaux reçoivent eux aussi des honneurs. Apaisez les âmes de vos ancêtres et apportez de modestes offrandes sur les bûchers éteints. »</w:t>
            </w:r>
          </w:p>
          <w:p>
            <w:pPr>
              <w:keepNext w:val="0"/>
              <w:keepLines/>
              <w:spacing w:after="0" w:line="247" w:lineRule="auto"/>
            </w:pPr>
            <w:r>
              <w:rPr>
                <w:rFonts w:ascii="Arial" w:hAnsi="Arial"/>
                <w:b w:val="0"/>
                <w:i w:val="0"/>
                <w:color w:val="536569"/>
                <w:sz w:val="20"/>
              </w:rPr>
              <w:t>placate et ferte : impératifs à la 2e personne du pluriel. Texte de l’édition Frazer (Perseus).</w:t>
            </w:r>
          </w:p>
        </w:tc>
      </w:tr>
    </w:tbl>
    <w:p>
      <w:pPr>
        <w:spacing w:after="0" w:before="0" w:line="20" w:lineRule="exact"/>
      </w:pPr>
      <w:r>
        <w:rPr>
          <w:sz w:val="2"/>
        </w:rPr>
      </w:r>
    </w:p>
    <w:p>
      <w:pPr>
        <w:keepNext/>
        <w:keepLines/>
        <w:spacing w:after="40" w:line="247" w:lineRule="auto"/>
      </w:pPr>
      <w:r>
        <w:rPr>
          <w:rFonts w:ascii="Arial" w:hAnsi="Arial"/>
          <w:b/>
          <w:i w:val="0"/>
          <w:color w:val="25383A"/>
          <w:sz w:val="23"/>
        </w:rPr>
        <w:t>D. À l’aide de la traduction, donne le sens de « animas », « munera » et « pyras ».</w:t>
      </w:r>
    </w:p>
    <w:p>
      <w:pPr>
        <w:keepNext w:val="0"/>
        <w:keepLines/>
        <w:spacing w:after="80" w:line="247" w:lineRule="auto"/>
      </w:pPr>
      <w:r>
        <w:rPr>
          <w:rFonts w:ascii="Arial" w:hAnsi="Arial"/>
          <w:b/>
          <w:i w:val="0"/>
          <w:color w:val="AC2732"/>
          <w:sz w:val="23"/>
        </w:rPr>
        <w:t>« animas »</w:t>
      </w:r>
      <w:r>
        <w:rPr>
          <w:rFonts w:ascii="Arial" w:hAnsi="Arial"/>
          <w:b w:val="0"/>
          <w:i w:val="0"/>
          <w:color w:val="AC2732"/>
          <w:sz w:val="23"/>
        </w:rPr>
        <w:t xml:space="preserve"> : les âmes.</w:t>
      </w:r>
      <w:r>
        <w:br/>
      </w:r>
      <w:r>
        <w:rPr>
          <w:rFonts w:ascii="Arial" w:hAnsi="Arial"/>
          <w:b/>
          <w:i w:val="0"/>
          <w:color w:val="AC2732"/>
          <w:sz w:val="23"/>
        </w:rPr>
        <w:t>« munera »</w:t>
      </w:r>
      <w:r>
        <w:rPr>
          <w:rFonts w:ascii="Arial" w:hAnsi="Arial"/>
          <w:b w:val="0"/>
          <w:i w:val="0"/>
          <w:color w:val="AC2732"/>
          <w:sz w:val="23"/>
        </w:rPr>
        <w:t xml:space="preserve"> : les offrandes, les présents.</w:t>
      </w:r>
      <w:r>
        <w:br/>
      </w:r>
      <w:r>
        <w:rPr>
          <w:rFonts w:ascii="Arial" w:hAnsi="Arial"/>
          <w:b/>
          <w:i w:val="0"/>
          <w:color w:val="AC2732"/>
          <w:sz w:val="23"/>
        </w:rPr>
        <w:t>« pyras »</w:t>
      </w:r>
      <w:r>
        <w:rPr>
          <w:rFonts w:ascii="Arial" w:hAnsi="Arial"/>
          <w:b w:val="0"/>
          <w:i w:val="0"/>
          <w:color w:val="AC2732"/>
          <w:sz w:val="23"/>
        </w:rPr>
        <w:t xml:space="preserve"> : les bûchers ; avec « extinctas », les bûchers éteints.</w:t>
      </w:r>
    </w:p>
    <w:p>
      <w:pPr>
        <w:keepNext w:val="0"/>
        <w:keepLines/>
        <w:spacing w:after="60" w:line="247" w:lineRule="auto"/>
      </w:pPr>
      <w:r>
        <w:rPr>
          <w:rFonts w:ascii="Arial" w:hAnsi="Arial"/>
          <w:b/>
          <w:i w:val="0"/>
          <w:color w:val="536569"/>
          <w:sz w:val="20"/>
        </w:rPr>
        <w:t>POUR L’ENSEIGNANT — Lecture grammaticale</w:t>
      </w:r>
      <w:r>
        <w:br/>
      </w:r>
      <w:r>
        <w:rPr>
          <w:rFonts w:ascii="Arial" w:hAnsi="Arial"/>
          <w:b w:val="0"/>
          <w:i w:val="0"/>
          <w:color w:val="536569"/>
          <w:sz w:val="20"/>
        </w:rPr>
        <w:t>Chez Ovide, « animas » est le COD de « placate » et « munera » celui de « ferte ». Chez César (VI, 14), « animas » est le sujet à l’accusatif des infinitifs « interire » et « transire ».</w:t>
      </w:r>
      <w:r>
        <w:br/>
      </w:r>
      <w:r>
        <w:rPr>
          <w:rFonts w:ascii="Arial" w:hAnsi="Arial"/>
          <w:b w:val="0"/>
          <w:i w:val="0"/>
          <w:color w:val="536569"/>
          <w:sz w:val="20"/>
        </w:rPr>
        <w:t>Pline : « sexta luna » désigne ici le sixième jour de la lune, et non un sixième mois.</w:t>
      </w:r>
    </w:p>
    <w:p>
      <w:pPr>
        <w:keepNext w:val="0"/>
        <w:keepLines/>
        <w:spacing w:after="60" w:line="247" w:lineRule="auto"/>
      </w:pPr>
      <w:r>
        <w:rPr>
          <w:rFonts w:ascii="Arial" w:hAnsi="Arial"/>
          <w:b w:val="0"/>
          <w:i w:val="0"/>
          <w:color w:val="536569"/>
          <w:sz w:val="20"/>
        </w:rPr>
        <w:t>Les textes latins décrivent des croyances et des rites ; ils reflètent aussi le regard d’auteurs romains.</w:t>
      </w:r>
    </w:p>
    <w:p>
      <w:r>
        <w:br w:type="page"/>
      </w:r>
    </w:p>
    <w:p>
      <w:pPr>
        <w:keepNext w:val="0"/>
        <w:keepLines/>
        <w:spacing w:after="60" w:line="247" w:lineRule="auto"/>
        <w:jc w:val="center"/>
      </w:pPr>
      <w:r>
        <w:rPr>
          <w:rFonts w:ascii="Arial" w:hAnsi="Arial"/>
          <w:b w:val="0"/>
          <w:i w:val="0"/>
          <w:color w:val="AC2732"/>
          <w:sz w:val="18"/>
        </w:rPr>
        <w:t>CORRIGÉ ENSEIGNANT · RÉPONSES PROPOSÉES EN ROUGE</w:t>
      </w:r>
    </w:p>
    <w:p>
      <w:pPr>
        <w:keepNext w:val="0"/>
        <w:keepLines/>
        <w:spacing w:after="80" w:line="247" w:lineRule="auto"/>
        <w:jc w:val="center"/>
        <w:shd w:fill="F7F4ED"/>
      </w:pPr>
      <w:r>
        <w:rPr>
          <w:rFonts w:ascii="Arial" w:hAnsi="Arial"/>
          <w:b/>
          <w:i w:val="0"/>
          <w:color w:val="28675E"/>
          <w:sz w:val="39"/>
        </w:rPr>
        <w:t>SAMAIN DANS LES RÉCITS IRLANDAIS</w:t>
      </w:r>
    </w:p>
    <w:p>
      <w:pPr>
        <w:keepNext w:val="0"/>
        <w:keepLines/>
        <w:spacing w:after="100" w:line="247" w:lineRule="auto"/>
        <w:jc w:val="center"/>
      </w:pPr>
      <w:r>
        <w:rPr>
          <w:rFonts w:ascii="Arial" w:hAnsi="Arial"/>
          <w:b w:val="0"/>
          <w:i w:val="0"/>
          <w:color w:val="94602B"/>
          <w:sz w:val="19"/>
        </w:rPr>
        <w:t>GAULOIS ET VIEIL IRLANDAIS : DEUX LANGUES CELTIQUES, DEUX CONTEXTES</w:t>
      </w:r>
    </w:p>
    <w:p>
      <w:pPr>
        <w:keepNext w:val="0"/>
        <w:keepLines/>
        <w:spacing w:after="50" w:line="247" w:lineRule="auto"/>
      </w:pPr>
      <w:r>
        <w:rPr>
          <w:rFonts w:ascii="Arial" w:hAnsi="Arial"/>
          <w:b w:val="0"/>
          <w:i w:val="0"/>
          <w:color w:val="25383A"/>
          <w:sz w:val="23"/>
        </w:rPr>
        <w:t>L’Aislinge Óenguso (« Le Rêve d’Óengus ») est un récit dont la rédaction est généralement située aux VIIe–VIIIe siècles, transmis par des manuscrits plus tardifs. Il ne décrit pas la Gaule romaine.</w:t>
      </w:r>
    </w:p>
    <w:tbl>
      <w:tblPr>
        <w:tblW w:type="auto" w:w="0"/>
        <w:jc w:val="center"/>
        <w:tblLayout w:type="fixed"/>
        <w:tblLook w:firstColumn="1" w:firstRow="1" w:lastColumn="0" w:lastRow="0" w:noHBand="0" w:noVBand="1" w:val="04A0"/>
      </w:tblPr>
      <w:tblGrid>
        <w:gridCol w:w="10545"/>
      </w:tblGrid>
      <w:tr>
        <w:trPr>
          <w:cantSplit/>
        </w:trPr>
        <w:tc>
          <w:tcPr>
            <w:tcW w:type="dxa" w:w="10546"/>
            <w:shd w:fill="EDF4F0"/>
            <w:tcMar>
              <w:top w:w="70" w:type="dxa"/>
              <w:left w:w="70" w:type="dxa"/>
              <w:bottom w:w="70" w:type="dxa"/>
              <w:right w:w="70" w:type="dxa"/>
            </w:tcMar>
          </w:tcPr>
          <w:p>
            <w:pPr>
              <w:keepNext w:val="0"/>
              <w:keepLines/>
              <w:spacing w:after="40" w:line="247" w:lineRule="auto"/>
            </w:pPr>
            <w:r>
              <w:rPr>
                <w:rFonts w:ascii="Arial" w:hAnsi="Arial"/>
                <w:b/>
                <w:i w:val="0"/>
                <w:color w:val="94602B"/>
                <w:sz w:val="19"/>
              </w:rPr>
              <w:t>VIEIL IRLANDAIS • AISLINGE ÓENGUSO, § 12</w:t>
            </w:r>
          </w:p>
          <w:p>
            <w:pPr>
              <w:keepNext w:val="0"/>
              <w:keepLines/>
              <w:spacing w:after="40" w:line="247" w:lineRule="auto"/>
            </w:pPr>
            <w:r>
              <w:rPr>
                <w:rFonts w:ascii="Arial" w:hAnsi="Arial"/>
                <w:b w:val="0"/>
                <w:i/>
                <w:color w:val="28675E"/>
                <w:sz w:val="24"/>
              </w:rPr>
              <w:t>In t-samuin-se as nessam bieid i n-deilb éuin oc Loch Bél Dracon …</w:t>
            </w:r>
          </w:p>
          <w:p>
            <w:pPr>
              <w:keepNext w:val="0"/>
              <w:keepLines/>
              <w:spacing w:after="40" w:line="247" w:lineRule="auto"/>
            </w:pPr>
            <w:r>
              <w:rPr>
                <w:rFonts w:ascii="Arial" w:hAnsi="Arial"/>
                <w:b w:val="0"/>
                <w:i w:val="0"/>
                <w:color w:val="25383A"/>
                <w:sz w:val="23"/>
              </w:rPr>
              <w:t>« Lors du prochain Samain, elle aura la forme d’un oiseau au lac Bél Dracon… » (traduction de travail).</w:t>
            </w:r>
          </w:p>
          <w:p>
            <w:pPr>
              <w:keepNext w:val="0"/>
              <w:keepLines/>
              <w:spacing w:after="0" w:line="247" w:lineRule="auto"/>
            </w:pPr>
            <w:r>
              <w:rPr>
                <w:rFonts w:ascii="Arial" w:hAnsi="Arial"/>
                <w:b w:val="0"/>
                <w:i w:val="0"/>
                <w:color w:val="536569"/>
                <w:sz w:val="20"/>
              </w:rPr>
              <w:t>samuin : forme du nom de la fête ; éuin : « oiseau ». Éd. Francis Shaw, 1934 ; CELT, University College Cork, G300001, § 12.</w:t>
            </w:r>
          </w:p>
        </w:tc>
      </w:tr>
    </w:tbl>
    <w:p>
      <w:pPr>
        <w:spacing w:after="0" w:before="0" w:line="20" w:lineRule="exact"/>
      </w:pPr>
      <w:r>
        <w:rPr>
          <w:sz w:val="2"/>
        </w:rPr>
      </w:r>
    </w:p>
    <w:p>
      <w:pPr>
        <w:keepNext w:val="0"/>
        <w:keepLines/>
        <w:spacing w:after="50" w:line="247" w:lineRule="auto"/>
        <w:jc w:val="center"/>
      </w:pPr>
      <w:r>
        <w:rPr>
          <w:rFonts w:ascii="Arial" w:hAnsi="Arial"/>
          <w:b/>
          <w:i w:val="0"/>
          <w:color w:val="28675E"/>
          <w:sz w:val="21"/>
        </w:rPr>
        <w:t>Gaulois :</w:t>
      </w:r>
      <w:r>
        <w:rPr>
          <w:rFonts w:ascii="Arial" w:hAnsi="Arial"/>
          <w:b w:val="0"/>
          <w:i w:val="0"/>
          <w:color w:val="28675E"/>
          <w:sz w:val="21"/>
        </w:rPr>
        <w:t xml:space="preserve"> SAMON, ATENOVX • </w:t>
      </w:r>
      <w:r>
        <w:rPr>
          <w:rFonts w:ascii="Arial" w:hAnsi="Arial"/>
          <w:b/>
          <w:i w:val="0"/>
          <w:color w:val="28675E"/>
          <w:sz w:val="21"/>
        </w:rPr>
        <w:t>Latin :</w:t>
      </w:r>
      <w:r>
        <w:rPr>
          <w:rFonts w:ascii="Arial" w:hAnsi="Arial"/>
          <w:b w:val="0"/>
          <w:i w:val="0"/>
          <w:color w:val="28675E"/>
          <w:sz w:val="21"/>
        </w:rPr>
        <w:t xml:space="preserve"> nox, anima, luna • </w:t>
      </w:r>
      <w:r>
        <w:rPr>
          <w:rFonts w:ascii="Arial" w:hAnsi="Arial"/>
          <w:b/>
          <w:i w:val="0"/>
          <w:color w:val="28675E"/>
          <w:sz w:val="21"/>
        </w:rPr>
        <w:t>Vieil irlandais :</w:t>
      </w:r>
      <w:r>
        <w:rPr>
          <w:rFonts w:ascii="Arial" w:hAnsi="Arial"/>
          <w:b w:val="0"/>
          <w:i w:val="0"/>
          <w:color w:val="28675E"/>
          <w:sz w:val="21"/>
        </w:rPr>
        <w:t xml:space="preserve"> samuin, éuin.</w:t>
      </w:r>
    </w:p>
    <w:p>
      <w:pPr>
        <w:pStyle w:val="Heading1"/>
      </w:pPr>
      <w:r>
        <w:t>BD : « Le mystère de SAMON »</w:t>
      </w:r>
    </w:p>
    <w:p>
      <w:pPr>
        <w:keepNext/>
        <w:spacing w:after="20"/>
        <w:jc w:val="center"/>
      </w:pPr>
      <w:r>
        <w:drawing>
          <wp:inline xmlns:a="http://schemas.openxmlformats.org/drawingml/2006/main" xmlns:pic="http://schemas.openxmlformats.org/drawingml/2006/picture">
            <wp:extent cx="6588000" cy="4296401"/>
            <wp:docPr id="4" name="Picture 4" descr="bd.png"/>
            <wp:cNvGraphicFramePr>
              <a:graphicFrameLocks noChangeAspect="1"/>
            </wp:cNvGraphicFramePr>
            <a:graphic>
              <a:graphicData uri="http://schemas.openxmlformats.org/drawingml/2006/picture">
                <pic:pic>
                  <pic:nvPicPr>
                    <pic:cNvPr id="0" name="bd.png"/>
                    <pic:cNvPicPr/>
                  </pic:nvPicPr>
                  <pic:blipFill>
                    <a:blip r:embed="rId13"/>
                    <a:stretch>
                      <a:fillRect/>
                    </a:stretch>
                  </pic:blipFill>
                  <pic:spPr>
                    <a:xfrm>
                      <a:off x="0" y="0"/>
                      <a:ext cx="6588000" cy="4296401"/>
                    </a:xfrm>
                    <a:prstGeom prst="rect"/>
                  </pic:spPr>
                </pic:pic>
              </a:graphicData>
            </a:graphic>
          </wp:inline>
        </w:drawing>
      </w:r>
    </w:p>
    <w:p>
      <w:pPr>
        <w:keepNext w:val="0"/>
        <w:keepLines/>
        <w:spacing w:after="60" w:line="247" w:lineRule="auto"/>
      </w:pPr>
      <w:r>
        <w:rPr>
          <w:rFonts w:ascii="Arial" w:hAnsi="Arial"/>
          <w:b/>
          <w:i w:val="0"/>
          <w:color w:val="536569"/>
          <w:sz w:val="19"/>
        </w:rPr>
        <w:t>Pour l’enseignant.</w:t>
      </w:r>
      <w:r>
        <w:rPr>
          <w:rFonts w:ascii="Arial" w:hAnsi="Arial"/>
          <w:b w:val="0"/>
          <w:i w:val="0"/>
          <w:color w:val="536569"/>
          <w:sz w:val="19"/>
        </w:rPr>
        <w:t xml:space="preserve"> La BD et les décors sont des créations modernes, non des sources antiques. Le calendrier dessiné n’est pas un fac-similé des photographies.</w:t>
      </w:r>
    </w:p>
    <w:p>
      <w:pPr>
        <w:keepNext/>
        <w:keepLines/>
        <w:spacing w:after="40" w:line="247" w:lineRule="auto"/>
      </w:pPr>
      <w:r>
        <w:rPr>
          <w:rFonts w:ascii="Arial" w:hAnsi="Arial"/>
          <w:b/>
          <w:i w:val="0"/>
          <w:color w:val="25383A"/>
          <w:sz w:val="23"/>
        </w:rPr>
        <w:t>Résume les cases 1 à 5 en une courte phrase. Pour la case 6, emploie « attestation », « hypothèse » et « anachronisme ».</w:t>
      </w:r>
    </w:p>
    <w:p>
      <w:pPr>
        <w:keepNext w:val="0"/>
        <w:keepLines/>
        <w:spacing w:after="80" w:line="247" w:lineRule="auto"/>
      </w:pPr>
      <w:r>
        <w:rPr>
          <w:rFonts w:ascii="Arial" w:hAnsi="Arial"/>
          <w:b/>
          <w:i w:val="0"/>
          <w:color w:val="AC2732"/>
          <w:sz w:val="23"/>
        </w:rPr>
        <w:t>1.</w:t>
      </w:r>
      <w:r>
        <w:rPr>
          <w:rFonts w:ascii="Arial" w:hAnsi="Arial"/>
          <w:b w:val="0"/>
          <w:i w:val="0"/>
          <w:color w:val="AC2732"/>
          <w:sz w:val="23"/>
        </w:rPr>
        <w:t xml:space="preserve"> Deux élèves se demandent si Samain était « Halloween chez les Gaulois ».</w:t>
      </w:r>
    </w:p>
    <w:p>
      <w:pPr>
        <w:keepNext w:val="0"/>
        <w:keepLines/>
        <w:spacing w:after="80" w:line="247" w:lineRule="auto"/>
      </w:pPr>
      <w:r>
        <w:rPr>
          <w:rFonts w:ascii="Arial" w:hAnsi="Arial"/>
          <w:b/>
          <w:i w:val="0"/>
          <w:color w:val="AC2732"/>
          <w:sz w:val="23"/>
        </w:rPr>
        <w:t>2.</w:t>
      </w:r>
      <w:r>
        <w:rPr>
          <w:rFonts w:ascii="Arial" w:hAnsi="Arial"/>
          <w:b w:val="0"/>
          <w:i w:val="0"/>
          <w:color w:val="AC2732"/>
          <w:sz w:val="23"/>
        </w:rPr>
        <w:t xml:space="preserve"> La guide propose de chercher des preuves avant de répondre.</w:t>
      </w:r>
    </w:p>
    <w:p>
      <w:pPr>
        <w:keepNext w:val="0"/>
        <w:keepLines/>
        <w:spacing w:after="80" w:line="247" w:lineRule="auto"/>
      </w:pPr>
      <w:r>
        <w:rPr>
          <w:rFonts w:ascii="Arial" w:hAnsi="Arial"/>
          <w:b/>
          <w:i w:val="0"/>
          <w:color w:val="AC2732"/>
          <w:sz w:val="23"/>
        </w:rPr>
        <w:t>3.</w:t>
      </w:r>
      <w:r>
        <w:rPr>
          <w:rFonts w:ascii="Arial" w:hAnsi="Arial"/>
          <w:b w:val="0"/>
          <w:i w:val="0"/>
          <w:color w:val="AC2732"/>
          <w:sz w:val="23"/>
        </w:rPr>
        <w:t xml:space="preserve"> Elle présente le calendrier de Coligny, un document gravé sur du bronze.</w:t>
      </w:r>
    </w:p>
    <w:p>
      <w:pPr>
        <w:keepNext w:val="0"/>
        <w:keepLines/>
        <w:spacing w:after="80" w:line="247" w:lineRule="auto"/>
      </w:pPr>
      <w:r>
        <w:rPr>
          <w:rFonts w:ascii="Arial" w:hAnsi="Arial"/>
          <w:b/>
          <w:i w:val="0"/>
          <w:color w:val="AC2732"/>
          <w:sz w:val="23"/>
        </w:rPr>
        <w:t>4.</w:t>
      </w:r>
      <w:r>
        <w:rPr>
          <w:rFonts w:ascii="Arial" w:hAnsi="Arial"/>
          <w:b w:val="0"/>
          <w:i w:val="0"/>
          <w:color w:val="AC2732"/>
          <w:sz w:val="23"/>
        </w:rPr>
        <w:t xml:space="preserve"> Le nom SAMON est attesté ; la mention interprétée comme « trois nuits » ne décrit pas les rites.</w:t>
      </w:r>
    </w:p>
    <w:p>
      <w:pPr>
        <w:keepNext w:val="0"/>
        <w:keepLines/>
        <w:spacing w:after="80" w:line="247" w:lineRule="auto"/>
      </w:pPr>
      <w:r>
        <w:rPr>
          <w:rFonts w:ascii="Arial" w:hAnsi="Arial"/>
          <w:b/>
          <w:i w:val="0"/>
          <w:color w:val="AC2732"/>
          <w:sz w:val="23"/>
        </w:rPr>
        <w:t>5.</w:t>
      </w:r>
      <w:r>
        <w:rPr>
          <w:rFonts w:ascii="Arial" w:hAnsi="Arial"/>
          <w:b w:val="0"/>
          <w:i w:val="0"/>
          <w:color w:val="AC2732"/>
          <w:sz w:val="23"/>
        </w:rPr>
        <w:t xml:space="preserve"> On compare le témoignage de César aux récits irlandais, rédigés bien plus tard.</w:t>
      </w:r>
    </w:p>
    <w:p>
      <w:pPr>
        <w:keepNext w:val="0"/>
        <w:keepLines/>
        <w:spacing w:after="80" w:line="247" w:lineRule="auto"/>
      </w:pPr>
      <w:r>
        <w:rPr>
          <w:rFonts w:ascii="Arial" w:hAnsi="Arial"/>
          <w:b/>
          <w:i w:val="0"/>
          <w:color w:val="AC2732"/>
          <w:sz w:val="23"/>
        </w:rPr>
        <w:t>6.</w:t>
      </w:r>
      <w:r>
        <w:rPr>
          <w:rFonts w:ascii="Arial" w:hAnsi="Arial"/>
          <w:b w:val="0"/>
          <w:i w:val="0"/>
          <w:color w:val="AC2732"/>
          <w:sz w:val="23"/>
        </w:rPr>
        <w:t xml:space="preserve"> L’</w:t>
      </w:r>
      <w:r>
        <w:rPr>
          <w:rFonts w:ascii="Arial" w:hAnsi="Arial"/>
          <w:b/>
          <w:i w:val="0"/>
          <w:color w:val="AC2732"/>
          <w:sz w:val="23"/>
        </w:rPr>
        <w:t>attestation</w:t>
      </w:r>
      <w:r>
        <w:rPr>
          <w:rFonts w:ascii="Arial" w:hAnsi="Arial"/>
          <w:b w:val="0"/>
          <w:i w:val="0"/>
          <w:color w:val="AC2732"/>
          <w:sz w:val="23"/>
        </w:rPr>
        <w:t xml:space="preserve"> du nom SAMON ne prouve pas une fête : le rapprochement avec Samain est une </w:t>
      </w:r>
      <w:r>
        <w:rPr>
          <w:rFonts w:ascii="Arial" w:hAnsi="Arial"/>
          <w:b/>
          <w:i w:val="0"/>
          <w:color w:val="AC2732"/>
          <w:sz w:val="23"/>
        </w:rPr>
        <w:t>hypothèse</w:t>
      </w:r>
      <w:r>
        <w:rPr>
          <w:rFonts w:ascii="Arial" w:hAnsi="Arial"/>
          <w:b w:val="0"/>
          <w:i w:val="0"/>
          <w:color w:val="AC2732"/>
          <w:sz w:val="23"/>
        </w:rPr>
        <w:t xml:space="preserve"> ; y voir Halloween serait un </w:t>
      </w:r>
      <w:r>
        <w:rPr>
          <w:rFonts w:ascii="Arial" w:hAnsi="Arial"/>
          <w:b/>
          <w:i w:val="0"/>
          <w:color w:val="AC2732"/>
          <w:sz w:val="23"/>
        </w:rPr>
        <w:t>anachronisme</w:t>
      </w:r>
      <w:r>
        <w:rPr>
          <w:rFonts w:ascii="Arial" w:hAnsi="Arial"/>
          <w:b w:val="0"/>
          <w:i w:val="0"/>
          <w:color w:val="AC2732"/>
          <w:sz w:val="23"/>
        </w:rPr>
        <w:t>.</w:t>
      </w:r>
    </w:p>
    <w:p>
      <w:r>
        <w:br w:type="page"/>
      </w:r>
    </w:p>
    <w:p>
      <w:pPr>
        <w:keepNext w:val="0"/>
        <w:keepLines/>
        <w:spacing w:after="60" w:line="247" w:lineRule="auto"/>
        <w:jc w:val="center"/>
      </w:pPr>
      <w:r>
        <w:rPr>
          <w:rFonts w:ascii="Arial" w:hAnsi="Arial"/>
          <w:b w:val="0"/>
          <w:i w:val="0"/>
          <w:color w:val="AC2732"/>
          <w:sz w:val="18"/>
        </w:rPr>
        <w:t>CORRIGÉ ENSEIGNANT · RÉPONSES PROPOSÉES EN ROUGE</w:t>
      </w:r>
    </w:p>
    <w:p>
      <w:pPr>
        <w:keepNext w:val="0"/>
        <w:keepLines/>
        <w:spacing w:after="80" w:line="247" w:lineRule="auto"/>
        <w:jc w:val="center"/>
        <w:shd w:fill="F7F4ED"/>
      </w:pPr>
      <w:r>
        <w:rPr>
          <w:rFonts w:ascii="Arial" w:hAnsi="Arial"/>
          <w:b/>
          <w:i w:val="0"/>
          <w:color w:val="28675E"/>
          <w:sz w:val="39"/>
        </w:rPr>
        <w:t>VÉRIFIER AVANT DE CONCLURE</w:t>
      </w:r>
    </w:p>
    <w:p>
      <w:pPr>
        <w:keepNext w:val="0"/>
        <w:keepLines/>
        <w:spacing w:after="100" w:line="247" w:lineRule="auto"/>
        <w:jc w:val="center"/>
      </w:pPr>
      <w:r>
        <w:rPr>
          <w:rFonts w:ascii="Arial" w:hAnsi="Arial"/>
          <w:b w:val="0"/>
          <w:i w:val="0"/>
          <w:color w:val="94602B"/>
          <w:sz w:val="19"/>
        </w:rPr>
        <w:t>VIDÉO • BILAN • TRACE ÉCRITE ET SOURCES</w:t>
      </w:r>
    </w:p>
    <w:p>
      <w:pPr>
        <w:pStyle w:val="Heading1"/>
      </w:pPr>
      <w:r>
        <w:t>6. Exploitation vidéo : le métier d’archéologue</w:t>
      </w:r>
    </w:p>
    <w:p>
      <w:pPr>
        <w:keepNext w:val="0"/>
        <w:keepLines/>
        <w:spacing w:after="50" w:line="247" w:lineRule="auto"/>
      </w:pPr>
      <w:r>
        <w:rPr>
          <w:rFonts w:ascii="Arial" w:hAnsi="Arial"/>
          <w:b w:val="0"/>
          <w:i w:val="0"/>
          <w:color w:val="25383A"/>
          <w:sz w:val="22"/>
        </w:rPr>
        <w:t>Dominique Garcia, archéologue, sur Nota Bene. Extrait indiqué dans le livret : 1 h 11 min 54 s → 1 h 18 min 27 s (6 min 33 s). Il apporte une méthode ; ce n’est pas un documentaire consacré à Samain.</w:t>
      </w:r>
    </w:p>
    <w:p>
      <w:pPr>
        <w:spacing w:after="20" w:line="240" w:lineRule="auto"/>
      </w:pPr>
      <w:hyperlink r:id="rId14">
        <w:r>
          <w:rPr>
            <w:color w:val="28675E"/>
            <w:sz w:val="18"/>
          </w:rPr>
          <w:t>VOIR L’EXTRAIT SUR YOUTUBE</w:t>
        </w:r>
      </w:hyperlink>
    </w:p>
    <w:p>
      <w:pPr>
        <w:keepNext/>
        <w:keepLines/>
        <w:spacing w:after="40" w:line="247" w:lineRule="auto"/>
      </w:pPr>
      <w:r>
        <w:rPr>
          <w:rFonts w:ascii="Arial" w:hAnsi="Arial"/>
          <w:b/>
          <w:i w:val="0"/>
          <w:color w:val="25383A"/>
          <w:sz w:val="23"/>
        </w:rPr>
        <w:t>F. Avant : quels objets permettent de proposer une hypothèse sur les Gaulois ?</w:t>
      </w:r>
    </w:p>
    <w:p>
      <w:pPr>
        <w:keepNext w:val="0"/>
        <w:keepLines/>
        <w:spacing w:after="80" w:line="247" w:lineRule="auto"/>
      </w:pPr>
      <w:r>
        <w:rPr>
          <w:rFonts w:ascii="Arial" w:hAnsi="Arial"/>
          <w:b w:val="0"/>
          <w:i w:val="0"/>
          <w:color w:val="AC2732"/>
          <w:sz w:val="23"/>
        </w:rPr>
        <w:t xml:space="preserve">Dans le livret : le </w:t>
      </w:r>
      <w:r>
        <w:rPr>
          <w:rFonts w:ascii="Arial" w:hAnsi="Arial"/>
          <w:b/>
          <w:i w:val="0"/>
          <w:color w:val="AC2732"/>
          <w:sz w:val="23"/>
        </w:rPr>
        <w:t>calendrier de Coligny</w:t>
      </w:r>
      <w:r>
        <w:rPr>
          <w:rFonts w:ascii="Arial" w:hAnsi="Arial"/>
          <w:b w:val="0"/>
          <w:i w:val="0"/>
          <w:color w:val="AC2732"/>
          <w:sz w:val="23"/>
        </w:rPr>
        <w:t xml:space="preserve">, avec ses inscriptions, et la </w:t>
      </w:r>
      <w:r>
        <w:rPr>
          <w:rFonts w:ascii="Arial" w:hAnsi="Arial"/>
          <w:b/>
          <w:i w:val="0"/>
          <w:color w:val="AC2732"/>
          <w:sz w:val="23"/>
        </w:rPr>
        <w:t>stèle funéraire</w:t>
      </w:r>
      <w:r>
        <w:rPr>
          <w:rFonts w:ascii="Arial" w:hAnsi="Arial"/>
          <w:b w:val="0"/>
          <w:i w:val="0"/>
          <w:color w:val="AC2732"/>
          <w:sz w:val="23"/>
        </w:rPr>
        <w:t>, avec les personnages sculptés. Ce sont des traces matérielles, à replacer dans leur contexte.</w:t>
      </w:r>
    </w:p>
    <w:p>
      <w:pPr>
        <w:keepNext/>
        <w:keepLines/>
        <w:spacing w:after="40" w:line="247" w:lineRule="auto"/>
      </w:pPr>
      <w:r>
        <w:rPr>
          <w:rFonts w:ascii="Arial" w:hAnsi="Arial"/>
          <w:b/>
          <w:i w:val="0"/>
          <w:color w:val="25383A"/>
          <w:sz w:val="23"/>
        </w:rPr>
        <w:t>G. Pendant : relève une preuve matérielle citée et une limite de son interprétation.</w:t>
      </w:r>
    </w:p>
    <w:p>
      <w:pPr>
        <w:keepNext w:val="0"/>
        <w:keepLines/>
        <w:spacing w:after="80" w:line="247" w:lineRule="auto"/>
      </w:pPr>
      <w:r>
        <w:rPr>
          <w:rFonts w:ascii="Arial" w:hAnsi="Arial"/>
          <w:b/>
          <w:i w:val="0"/>
          <w:color w:val="AC2732"/>
          <w:sz w:val="23"/>
        </w:rPr>
        <w:t>Attendu à valider au visionnage :</w:t>
      </w:r>
      <w:r>
        <w:rPr>
          <w:rFonts w:ascii="Arial" w:hAnsi="Arial"/>
          <w:b w:val="0"/>
          <w:i w:val="0"/>
          <w:color w:val="AC2732"/>
          <w:sz w:val="23"/>
        </w:rPr>
        <w:t xml:space="preserve"> un vestige réellement cité, ce qu’il permet d’établir et une limite de l’interprétation. Le PDF ne transcrit pas l’entretien : il ne permet pas de donner l’exemple exact.</w:t>
      </w:r>
    </w:p>
    <w:p>
      <w:pPr>
        <w:keepNext/>
        <w:keepLines/>
        <w:spacing w:after="40" w:line="247" w:lineRule="auto"/>
      </w:pPr>
      <w:r>
        <w:rPr>
          <w:rFonts w:ascii="Arial" w:hAnsi="Arial"/>
          <w:b/>
          <w:i w:val="0"/>
          <w:color w:val="25383A"/>
          <w:sz w:val="23"/>
        </w:rPr>
        <w:t>H. Après : pourquoi la ressemblance entre SAMON et Samain ne suffit-elle pas à prouver un rite ?</w:t>
      </w:r>
    </w:p>
    <w:p>
      <w:pPr>
        <w:keepNext w:val="0"/>
        <w:keepLines/>
        <w:spacing w:after="80" w:line="247" w:lineRule="auto"/>
      </w:pPr>
      <w:r>
        <w:rPr>
          <w:rFonts w:ascii="Arial" w:hAnsi="Arial"/>
          <w:b w:val="0"/>
          <w:i w:val="0"/>
          <w:color w:val="AC2732"/>
          <w:sz w:val="23"/>
        </w:rPr>
        <w:t xml:space="preserve">Une ressemblance entre les noms ne prouve ni des </w:t>
      </w:r>
      <w:r>
        <w:rPr>
          <w:rFonts w:ascii="Arial" w:hAnsi="Arial"/>
          <w:b/>
          <w:i w:val="0"/>
          <w:color w:val="AC2732"/>
          <w:sz w:val="23"/>
        </w:rPr>
        <w:t>rites identiques</w:t>
      </w:r>
      <w:r>
        <w:rPr>
          <w:rFonts w:ascii="Arial" w:hAnsi="Arial"/>
          <w:b w:val="0"/>
          <w:i w:val="0"/>
          <w:color w:val="AC2732"/>
          <w:sz w:val="23"/>
        </w:rPr>
        <w:t>, ni une même date, ni leur transmission continue entre la Gaule antique et l’Irlande médiévale. Il faut comparer des sources datées et contextualisées.</w:t>
      </w:r>
    </w:p>
    <w:p>
      <w:pPr>
        <w:pStyle w:val="Heading1"/>
      </w:pPr>
      <w:r>
        <w:t>7. Bilan : réponds brièvement et justifie</w:t>
      </w:r>
    </w:p>
    <w:p>
      <w:pPr>
        <w:keepNext/>
        <w:keepLines/>
        <w:spacing w:after="40" w:line="247" w:lineRule="auto"/>
      </w:pPr>
      <w:r>
        <w:rPr>
          <w:rFonts w:ascii="Arial" w:hAnsi="Arial"/>
          <w:b/>
          <w:i w:val="0"/>
          <w:color w:val="25383A"/>
          <w:sz w:val="23"/>
        </w:rPr>
        <w:t>1. Le calendrier de Coligny est-il rédigé en latin ?</w:t>
      </w:r>
    </w:p>
    <w:p>
      <w:pPr>
        <w:keepNext w:val="0"/>
        <w:keepLines/>
        <w:spacing w:after="60" w:line="247" w:lineRule="auto"/>
      </w:pPr>
      <w:r>
        <w:rPr>
          <w:rFonts w:ascii="Arial" w:hAnsi="Arial"/>
          <w:b w:val="0"/>
          <w:i w:val="0"/>
          <w:color w:val="AC2732"/>
          <w:sz w:val="23"/>
        </w:rPr>
        <w:t xml:space="preserve">Non : les mots sont </w:t>
      </w:r>
      <w:r>
        <w:rPr>
          <w:rFonts w:ascii="Arial" w:hAnsi="Arial"/>
          <w:b/>
          <w:i w:val="0"/>
          <w:color w:val="AC2732"/>
          <w:sz w:val="23"/>
        </w:rPr>
        <w:t>gaulois</w:t>
      </w:r>
      <w:r>
        <w:rPr>
          <w:rFonts w:ascii="Arial" w:hAnsi="Arial"/>
          <w:b w:val="0"/>
          <w:i w:val="0"/>
          <w:color w:val="AC2732"/>
          <w:sz w:val="23"/>
        </w:rPr>
        <w:t xml:space="preserve"> ; seul l’alphabet est </w:t>
      </w:r>
      <w:r>
        <w:rPr>
          <w:rFonts w:ascii="Arial" w:hAnsi="Arial"/>
          <w:b/>
          <w:i w:val="0"/>
          <w:color w:val="AC2732"/>
          <w:sz w:val="23"/>
        </w:rPr>
        <w:t>latin</w:t>
      </w:r>
      <w:r>
        <w:rPr>
          <w:rFonts w:ascii="Arial" w:hAnsi="Arial"/>
          <w:b w:val="0"/>
          <w:i w:val="0"/>
          <w:color w:val="AC2732"/>
          <w:sz w:val="23"/>
        </w:rPr>
        <w:t>.</w:t>
      </w:r>
    </w:p>
    <w:p>
      <w:pPr>
        <w:keepNext/>
        <w:keepLines/>
        <w:spacing w:after="40" w:line="247" w:lineRule="auto"/>
      </w:pPr>
      <w:r>
        <w:rPr>
          <w:rFonts w:ascii="Arial" w:hAnsi="Arial"/>
          <w:b/>
          <w:i w:val="0"/>
          <w:color w:val="25383A"/>
          <w:sz w:val="23"/>
        </w:rPr>
        <w:t>2. César parle-t-il explicitement de Samain ?</w:t>
      </w:r>
    </w:p>
    <w:p>
      <w:pPr>
        <w:keepNext w:val="0"/>
        <w:keepLines/>
        <w:spacing w:after="60" w:line="247" w:lineRule="auto"/>
      </w:pPr>
      <w:r>
        <w:rPr>
          <w:rFonts w:ascii="Arial" w:hAnsi="Arial"/>
          <w:b w:val="0"/>
          <w:i w:val="0"/>
          <w:color w:val="AC2732"/>
          <w:sz w:val="23"/>
        </w:rPr>
        <w:t>Non. Dans les extraits étudiés, il évoque les nuits et les âmes, sans nommer Samain.</w:t>
      </w:r>
    </w:p>
    <w:p>
      <w:pPr>
        <w:keepNext/>
        <w:keepLines/>
        <w:spacing w:after="40" w:line="247" w:lineRule="auto"/>
      </w:pPr>
      <w:r>
        <w:rPr>
          <w:rFonts w:ascii="Arial" w:hAnsi="Arial"/>
          <w:b/>
          <w:i w:val="0"/>
          <w:color w:val="25383A"/>
          <w:sz w:val="23"/>
        </w:rPr>
        <w:t>3. Pline donne-t-il la date d’une fête de fin octobre ?</w:t>
      </w:r>
    </w:p>
    <w:p>
      <w:pPr>
        <w:keepNext w:val="0"/>
        <w:keepLines/>
        <w:spacing w:after="60" w:line="247" w:lineRule="auto"/>
      </w:pPr>
      <w:r>
        <w:rPr>
          <w:rFonts w:ascii="Arial" w:hAnsi="Arial"/>
          <w:b w:val="0"/>
          <w:i w:val="0"/>
          <w:color w:val="AC2732"/>
          <w:sz w:val="23"/>
        </w:rPr>
        <w:t>Non. Il décrit la cueillette du gui et une référence lunaire, pas une fête de fin octobre.</w:t>
      </w:r>
    </w:p>
    <w:p>
      <w:pPr>
        <w:keepNext/>
        <w:keepLines/>
        <w:spacing w:after="40" w:line="247" w:lineRule="auto"/>
      </w:pPr>
      <w:r>
        <w:rPr>
          <w:rFonts w:ascii="Arial" w:hAnsi="Arial"/>
          <w:b/>
          <w:i w:val="0"/>
          <w:color w:val="25383A"/>
          <w:sz w:val="23"/>
        </w:rPr>
        <w:t>4. Les Feralia romaines sont-elles la même fête que Samain ?</w:t>
      </w:r>
    </w:p>
    <w:p>
      <w:pPr>
        <w:keepNext w:val="0"/>
        <w:keepLines/>
        <w:spacing w:after="60" w:line="247" w:lineRule="auto"/>
      </w:pPr>
      <w:r>
        <w:rPr>
          <w:rFonts w:ascii="Arial" w:hAnsi="Arial"/>
          <w:b w:val="0"/>
          <w:i w:val="0"/>
          <w:color w:val="AC2732"/>
          <w:sz w:val="23"/>
        </w:rPr>
        <w:t>Non. Le livret situe les fêtes romaines en février et n’établit pas leur identité avec Samain.</w:t>
      </w:r>
    </w:p>
    <w:p>
      <w:pPr>
        <w:keepNext/>
        <w:keepLines/>
        <w:spacing w:after="40" w:line="247" w:lineRule="auto"/>
      </w:pPr>
      <w:r>
        <w:rPr>
          <w:rFonts w:ascii="Arial" w:hAnsi="Arial"/>
          <w:b/>
          <w:i w:val="0"/>
          <w:color w:val="25383A"/>
          <w:sz w:val="23"/>
        </w:rPr>
        <w:t>5. Le récit irlandais prouve-t-il des rites dans la Gaule romaine ?</w:t>
      </w:r>
    </w:p>
    <w:p>
      <w:pPr>
        <w:keepNext w:val="0"/>
        <w:keepLines/>
        <w:spacing w:after="60" w:line="247" w:lineRule="auto"/>
      </w:pPr>
      <w:r>
        <w:rPr>
          <w:rFonts w:ascii="Arial" w:hAnsi="Arial"/>
          <w:b w:val="0"/>
          <w:i w:val="0"/>
          <w:color w:val="AC2732"/>
          <w:sz w:val="23"/>
        </w:rPr>
        <w:t xml:space="preserve">Non. C’est un récit irlandais médiéval : </w:t>
      </w:r>
      <w:r>
        <w:rPr>
          <w:rFonts w:ascii="Arial" w:hAnsi="Arial"/>
          <w:b/>
          <w:i w:val="0"/>
          <w:color w:val="AC2732"/>
          <w:sz w:val="23"/>
        </w:rPr>
        <w:t>un autre lieu et une autre époque</w:t>
      </w:r>
      <w:r>
        <w:rPr>
          <w:rFonts w:ascii="Arial" w:hAnsi="Arial"/>
          <w:b w:val="0"/>
          <w:i w:val="0"/>
          <w:color w:val="AC2732"/>
          <w:sz w:val="23"/>
        </w:rPr>
        <w:t>.</w:t>
      </w:r>
    </w:p>
    <w:p>
      <w:pPr>
        <w:keepNext w:val="0"/>
        <w:keepLines/>
        <w:spacing w:after="60" w:line="247" w:lineRule="auto"/>
      </w:pPr>
      <w:r>
        <w:rPr>
          <w:rFonts w:ascii="Arial" w:hAnsi="Arial"/>
          <w:b/>
          <w:i w:val="0"/>
          <w:color w:val="536569"/>
          <w:sz w:val="20"/>
        </w:rPr>
        <w:t>Critère commun.</w:t>
      </w:r>
      <w:r>
        <w:rPr>
          <w:rFonts w:ascii="Arial" w:hAnsi="Arial"/>
          <w:b w:val="0"/>
          <w:i w:val="0"/>
          <w:color w:val="536569"/>
          <w:sz w:val="20"/>
        </w:rPr>
        <w:t xml:space="preserve"> Accepter les reformulations justes ; demander une justification. « Non prouvé » ne signifie pas « impossible ».</w:t>
      </w:r>
    </w:p>
    <w:p>
      <w:pPr>
        <w:pStyle w:val="Heading1"/>
      </w:pPr>
      <w:r>
        <w:t>8. À retenir</w:t>
      </w:r>
    </w:p>
    <w:p>
      <w:pPr>
        <w:keepNext w:val="0"/>
        <w:keepLines/>
        <w:spacing w:after="50" w:line="247" w:lineRule="auto"/>
      </w:pPr>
      <w:r>
        <w:rPr>
          <w:rFonts w:ascii="Arial" w:hAnsi="Arial"/>
          <w:b w:val="0"/>
          <w:i w:val="0"/>
          <w:color w:val="25383A"/>
          <w:sz w:val="23"/>
        </w:rPr>
        <w:t>Le calendrier de Coligny atteste un mois gaulois appelé SAMON. César et Pline décrivent en latin des pratiques et croyances attribuées aux Gaulois ; Ovide évoque des rites romains des morts. Un récit en vieil irlandais mentionne Samain plusieurs siècles plus tard. Une parenté possible ne démontre pas l’existence d’une fête gallo-romaine identique à Halloween.</w:t>
      </w:r>
    </w:p>
    <w:p>
      <w:pPr>
        <w:keepNext w:val="0"/>
        <w:keepLines/>
        <w:spacing w:after="60" w:line="247" w:lineRule="auto"/>
      </w:pPr>
      <w:r>
        <w:rPr>
          <w:rFonts w:ascii="Arial" w:hAnsi="Arial"/>
          <w:b w:val="0"/>
          <w:i w:val="0"/>
          <w:color w:val="536569"/>
          <w:sz w:val="20"/>
        </w:rPr>
        <w:t>G — Extrait non consultable ici. Variante hors connexion, à annoncer : le calendrier atteste un mois appelé SAMON, mais ne décrit pas le déroulement d’un rite.</w:t>
      </w:r>
    </w:p>
    <w:p>
      <w:pPr>
        <w:keepNext w:val="0"/>
        <w:keepLines/>
        <w:spacing w:after="40" w:line="247" w:lineRule="auto"/>
      </w:pPr>
      <w:r>
        <w:rPr>
          <w:rFonts w:ascii="Arial" w:hAnsi="Arial"/>
          <w:b/>
          <w:i w:val="0"/>
          <w:color w:val="28675E"/>
          <w:sz w:val="19"/>
        </w:rPr>
        <w:t>SOURCES DU LIVRET ET CRÉDITS</w:t>
      </w:r>
    </w:p>
    <w:p>
      <w:pPr>
        <w:spacing w:after="20" w:line="240" w:lineRule="auto"/>
      </w:pPr>
      <w:hyperlink r:id="rId15">
        <w:r>
          <w:rPr>
            <w:color w:val="28675E"/>
            <w:sz w:val="15"/>
          </w:rPr>
          <w:t>Lugdunum : calendrier de Coligny • Duval et Pinault, RIG III, 1986.</w:t>
        </w:r>
      </w:hyperlink>
    </w:p>
    <w:p>
      <w:pPr>
        <w:spacing w:after="20" w:line="240" w:lineRule="auto"/>
      </w:pPr>
      <w:hyperlink r:id="rId16">
        <w:r>
          <w:rPr>
            <w:color w:val="28675E"/>
            <w:sz w:val="15"/>
          </w:rPr>
          <w:t>S. C. McCluskey, Études celtiques 27, 1990 (étude du calendrier).</w:t>
        </w:r>
      </w:hyperlink>
    </w:p>
    <w:p>
      <w:pPr>
        <w:spacing w:after="20" w:line="240" w:lineRule="auto"/>
      </w:pPr>
      <w:hyperlink r:id="rId17">
        <w:r>
          <w:rPr>
            <w:color w:val="28675E"/>
            <w:sz w:val="15"/>
          </w:rPr>
          <w:t>César, De bello Gallico VI, 14 et 18 (texte latin).</w:t>
        </w:r>
      </w:hyperlink>
    </w:p>
    <w:p>
      <w:pPr>
        <w:spacing w:after="20" w:line="240" w:lineRule="auto"/>
      </w:pPr>
      <w:hyperlink r:id="rId18">
        <w:r>
          <w:rPr>
            <w:color w:val="28675E"/>
            <w:sz w:val="15"/>
          </w:rPr>
          <w:t>Pline, Naturalis historia XVI, 250 (texte latin).</w:t>
        </w:r>
      </w:hyperlink>
    </w:p>
    <w:p>
      <w:pPr>
        <w:spacing w:after="20" w:line="240" w:lineRule="auto"/>
      </w:pPr>
      <w:hyperlink r:id="rId19">
        <w:r>
          <w:rPr>
            <w:color w:val="28675E"/>
            <w:sz w:val="15"/>
          </w:rPr>
          <w:t>Ovide, Fasti II, 533–534 (Frazer / Perseus).</w:t>
        </w:r>
      </w:hyperlink>
    </w:p>
    <w:p>
      <w:pPr>
        <w:spacing w:after="20" w:line="240" w:lineRule="auto"/>
      </w:pPr>
      <w:hyperlink r:id="rId20">
        <w:r>
          <w:rPr>
            <w:color w:val="28675E"/>
            <w:sz w:val="15"/>
          </w:rPr>
          <w:t>Aislinge Óenguso, § 12, éd. F. Shaw (CELT, UCC).</w:t>
        </w:r>
      </w:hyperlink>
    </w:p>
    <w:p>
      <w:pPr>
        <w:keepNext w:val="0"/>
        <w:keepLines/>
        <w:spacing w:after="60" w:line="247" w:lineRule="auto"/>
      </w:pPr>
      <w:r>
        <w:rPr>
          <w:rFonts w:ascii="Arial" w:hAnsi="Arial"/>
          <w:b w:val="0"/>
          <w:i w:val="0"/>
          <w:color w:val="536569"/>
          <w:sz w:val="18"/>
        </w:rPr>
        <w:t>Base du corrigé : « Samon et Samain — Livret élèves.pdf », 4 pages, fourni dans cette conversation. Textes, photographies et BD repris de ce livret ; les notes pour l’enseignant sont des indications de correction.</w:t>
      </w:r>
    </w:p>
    <w:sectPr w:rsidR="00FC693F" w:rsidRPr="0006063C" w:rsidSect="00034616">
      <w:footerReference w:type="default" r:id="rId9"/>
      <w:pgSz w:w="11906" w:h="16838"/>
      <w:pgMar w:top="539" w:right="680" w:bottom="595" w:left="680" w:header="142" w:footer="255"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spacing w:after="0" w:line="20" w:lineRule="exact"/>
    </w:pPr>
    <w:r>
      <w:rPr>
        <w:sz w:val="2"/>
      </w:rPr>
    </w:r>
  </w:p>
  <w:tbl>
    <w:tblPr>
      <w:tblW w:type="auto" w:w="0"/>
      <w:tblLayout w:type="fixed"/>
      <w:tblLook w:firstColumn="1" w:firstRow="1" w:lastColumn="0" w:lastRow="0" w:noHBand="0" w:noVBand="1" w:val="04A0"/>
    </w:tblPr>
    <w:tblGrid>
      <w:gridCol w:w="9638"/>
      <w:gridCol w:w="907"/>
    </w:tblGrid>
    <w:tr>
      <w:tc>
        <w:tcPr>
          <w:tcW w:type="dxa" w:w="9638"/>
        </w:tcPr>
        <w:p>
          <w:pPr>
            <w:spacing w:after="0"/>
          </w:pPr>
          <w:r>
            <w:rPr>
              <w:color w:val="536569"/>
              <w:sz w:val="16"/>
            </w:rPr>
            <w:t>LUDENDO • SAMON / SAMAIN • CORRIGÉ ENSEIGNANT</w:t>
          </w:r>
        </w:p>
      </w:tc>
      <w:tc>
        <w:tcPr>
          <w:tcW w:type="dxa" w:w="907"/>
        </w:tcPr>
        <w:p>
          <w:pPr>
            <w:spacing w:after="0"/>
            <w:jc w:val="right"/>
          </w:pPr>
          <w:fldSimple w:instr="PAGE"/>
          <w:r>
            <w:rPr>
              <w:sz w:val="16"/>
            </w:rPr>
            <w:t xml:space="preserve"> / 4</w:t>
          </w:r>
        </w:p>
      </w:tc>
    </w:tr>
  </w:tbl>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50" w:line="247" w:lineRule="auto"/>
    </w:pPr>
    <w:rPr>
      <w:rFonts w:ascii="Arial" w:hAnsi="Arial"/>
      <w:color w:val="25383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00" w:after="60"/>
      <w:jc w:val="center"/>
      <w:outlineLvl w:val="0"/>
    </w:pPr>
    <w:rPr>
      <w:rFonts w:asciiTheme="majorHAnsi" w:eastAsiaTheme="majorEastAsia" w:hAnsiTheme="majorHAnsi" w:cstheme="majorBidi" w:ascii="Arial" w:hAnsi="Arial"/>
      <w:b/>
      <w:bCs/>
      <w:color w:val="28675E"/>
      <w:sz w:val="27"/>
      <w:szCs w:val="28"/>
    </w:rPr>
  </w:style>
  <w:style w:type="paragraph" w:styleId="Heading2">
    <w:name w:val="heading 2"/>
    <w:basedOn w:val="Normal"/>
    <w:next w:val="Normal"/>
    <w:link w:val="Heading2Char"/>
    <w:uiPriority w:val="9"/>
    <w:unhideWhenUsed/>
    <w:qFormat/>
    <w:rsid w:val="00FC693F"/>
    <w:pPr>
      <w:keepNext/>
      <w:keepLines/>
      <w:spacing w:before="100" w:after="60"/>
      <w:jc w:val="center"/>
      <w:outlineLvl w:val="1"/>
    </w:pPr>
    <w:rPr>
      <w:rFonts w:asciiTheme="majorHAnsi" w:eastAsiaTheme="majorEastAsia" w:hAnsiTheme="majorHAnsi" w:cstheme="majorBidi" w:ascii="Arial" w:hAnsi="Arial"/>
      <w:b/>
      <w:bCs/>
      <w:color w:val="28675E"/>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image" Target="media/image4.png"/><Relationship Id="rId14" Type="http://schemas.openxmlformats.org/officeDocument/2006/relationships/hyperlink" Target="https://www.youtube.com/watch?v=VuK683OlmCE&amp;t=4314s" TargetMode="External"/><Relationship Id="rId15" Type="http://schemas.openxmlformats.org/officeDocument/2006/relationships/hyperlink" Target="https://lugdunum.grandlyon.com/Oeuvre-incontournable/2381-Calendrier-gaulois-de-Coligny" TargetMode="External"/><Relationship Id="rId16" Type="http://schemas.openxmlformats.org/officeDocument/2006/relationships/hyperlink" Target="https://www.persee.fr/doc/ecelt_0373-1928_1990_num_27_1_1925" TargetMode="External"/><Relationship Id="rId17" Type="http://schemas.openxmlformats.org/officeDocument/2006/relationships/hyperlink" Target="https://www.thelatinlibrary.com/caesar/gall6.shtml" TargetMode="External"/><Relationship Id="rId18" Type="http://schemas.openxmlformats.org/officeDocument/2006/relationships/hyperlink" Target="https://latin.packhum.org/loc/978/1/1229/642-644" TargetMode="External"/><Relationship Id="rId19" Type="http://schemas.openxmlformats.org/officeDocument/2006/relationships/hyperlink" Target="https://beta.perseus.tufts.edu/urn:cts:latinLit:phi0959.phi007.perseus-lat2:2/" TargetMode="External"/><Relationship Id="rId20" Type="http://schemas.openxmlformats.org/officeDocument/2006/relationships/hyperlink" Target="https://celt.ucc.ie/published/G300001.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Samon et Samain — Corrigé enseignant</dc:title>
  <dc:subject>Corrigé modifiable du livret élèves fourni</dc:subject>
  <dc:creator>Ludendo</dc:creator>
  <cp:keywords/>
  <dc:description>generated by python-docx</dc:description>
  <cp:lastModifiedBy/>
  <cp:revision>1</cp:revision>
  <dcterms:created xsi:type="dcterms:W3CDTF">2013-12-23T23:15:00Z</dcterms:created>
  <dcterms:modified xsi:type="dcterms:W3CDTF">2013-12-23T23:15:00Z</dcterms:modified>
  <cp:category/>
</cp:coreProperties>
</file>