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780"/>
        <w:jc w:val="center"/>
        <w:tblLayout w:type="fixed"/>
        <w:tblLook w:firstColumn="1" w:firstRow="1" w:lastColumn="0" w:lastRow="0" w:noHBand="0" w:noVBand="1" w:val="04A0"/>
      </w:tblPr>
      <w:tblGrid>
        <w:gridCol w:w="520"/>
        <w:gridCol w:w="480"/>
        <w:gridCol w:w="400"/>
        <w:gridCol w:w="580"/>
        <w:gridCol w:w="8800"/>
      </w:tblGrid>
      <w:tr>
        <w:trPr>
          <w:trHeight w:val="38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/>
        </w:tc>
      </w:tr>
      <w:tr>
        <w:trPr>
          <w:trHeight w:val="60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>
            <w:pPr>
              <w:pStyle w:val="Title"/>
              <w:keepNext w:val="0"/>
              <w:keepLines/>
              <w:spacing w:before="0" w:after="0" w:line="54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44"/>
              </w:rPr>
              <w:t>Corrigé sur les figures de style</w:t>
            </w:r>
          </w:p>
        </w:tc>
      </w:tr>
      <w:tr>
        <w:trPr>
          <w:trHeight w:val="62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20 questions · 1 point par bonne réponse · Total sur 20</w:t>
            </w:r>
          </w:p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Réponse fausse, absente ou multiple = 0 point.</w:t>
            </w:r>
          </w:p>
        </w:tc>
      </w:tr>
      <w:tr>
        <w:trPr>
          <w:trHeight w:val="370" w:hRule="exact"/>
          <w:cantSplit/>
        </w:trPr>
        <w:tc>
          <w:tcPr>
            <w:tcW w:type="dxa" w:w="1000"/>
            <w:gridSpan w:val="2"/>
            <w:shd w:val="clear" w:color="auto" w:fill="F3E7EA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1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Bande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Réponses justifiées et références des extraits</w:t>
            </w:r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A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Antithèse. </w:t>
            </w:r>
            <w:r>
              <w:rPr>
                <w:rFonts w:ascii="Arial" w:hAnsi="Arial"/>
                <w:b w:val="0"/>
                <w:i w:val="0"/>
                <w:sz w:val="22"/>
              </w:rPr>
              <w:t>Les deux verbes opposent la vie et la mort.</w:t>
            </w:r>
          </w:p>
          <w:p>
            <w:pPr>
              <w:keepNext w:val="0"/>
              <w:spacing w:line="222" w:lineRule="exact" w:before="0" w:after="0"/>
            </w:pPr>
            <w:hyperlink r:id="rId9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Louise Labé · Sonnets, VIII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2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2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C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Comparaison. </w:t>
            </w:r>
            <w:r>
              <w:rPr>
                <w:rFonts w:ascii="Arial" w:hAnsi="Arial"/>
                <w:b w:val="0"/>
                <w:i w:val="0"/>
                <w:sz w:val="22"/>
              </w:rPr>
              <w:t>« Semblable à » rapproche le poète de l’albatros.</w:t>
            </w:r>
          </w:p>
          <w:p>
            <w:pPr>
              <w:keepNext w:val="0"/>
              <w:spacing w:line="222" w:lineRule="exact" w:before="0" w:after="0"/>
            </w:pPr>
            <w:hyperlink r:id="rId10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Charles Baudelaire · Les Fleurs du mal, « L’Albatros »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3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3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B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Métaphore. </w:t>
            </w:r>
            <w:r>
              <w:rPr>
                <w:rFonts w:ascii="Arial" w:hAnsi="Arial"/>
                <w:b w:val="0"/>
                <w:i w:val="0"/>
                <w:sz w:val="22"/>
              </w:rPr>
              <w:t>La voix est assimilée à un poème, sans outil comparatif.</w:t>
            </w:r>
          </w:p>
          <w:p>
            <w:pPr>
              <w:keepNext w:val="0"/>
              <w:spacing w:line="222" w:lineRule="exact" w:before="0" w:after="0"/>
            </w:pPr>
            <w:hyperlink r:id="rId11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Renée Vivien · Études et Préludes, « Chanson »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4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4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B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Personnification. </w:t>
            </w:r>
            <w:r>
              <w:rPr>
                <w:rFonts w:ascii="Arial" w:hAnsi="Arial"/>
                <w:b w:val="0"/>
                <w:i w:val="0"/>
                <w:sz w:val="22"/>
              </w:rPr>
              <w:t>Le chêne parle comme une personne.</w:t>
            </w:r>
          </w:p>
          <w:p>
            <w:pPr>
              <w:keepNext w:val="0"/>
              <w:spacing w:line="222" w:lineRule="exact" w:before="0" w:after="0"/>
            </w:pPr>
            <w:hyperlink r:id="rId12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Jean de La Fontaine · Fables, I, 22, « Le Chêne et le Roseau »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5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5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A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Énumération. </w:t>
            </w:r>
            <w:r>
              <w:rPr>
                <w:rFonts w:ascii="Arial" w:hAnsi="Arial"/>
                <w:b w:val="0"/>
                <w:i w:val="0"/>
                <w:sz w:val="22"/>
              </w:rPr>
              <w:t>Trois qualificatifs sont donnés à la suite.</w:t>
            </w:r>
          </w:p>
          <w:p>
            <w:pPr>
              <w:keepNext w:val="0"/>
              <w:spacing w:line="222" w:lineRule="exact" w:before="0" w:after="0"/>
            </w:pPr>
            <w:hyperlink r:id="rId13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Mme de Sévigné · Lettre à Coulanges, 15 décembre 1670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6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6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C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Oxymore. </w:t>
            </w:r>
            <w:r>
              <w:rPr>
                <w:rFonts w:ascii="Arial" w:hAnsi="Arial"/>
                <w:b w:val="0"/>
                <w:i w:val="0"/>
                <w:sz w:val="22"/>
              </w:rPr>
              <w:t>« Noir » est associé au Soleil, qui évoque la lumière.</w:t>
            </w:r>
          </w:p>
          <w:p>
            <w:pPr>
              <w:keepNext w:val="0"/>
              <w:spacing w:line="222" w:lineRule="exact" w:before="0" w:after="0"/>
            </w:pPr>
            <w:hyperlink r:id="rId14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Gérard de Nerval · Les Chimères, « El Desdichado »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7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7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B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Anaphore. </w:t>
            </w:r>
            <w:r>
              <w:rPr>
                <w:rFonts w:ascii="Arial" w:hAnsi="Arial"/>
                <w:b w:val="0"/>
                <w:i w:val="0"/>
                <w:sz w:val="22"/>
              </w:rPr>
              <w:t>Les deux vers commencent par « Seulete suy » (« Je suis seule »).</w:t>
            </w:r>
          </w:p>
          <w:p>
            <w:pPr>
              <w:keepNext w:val="0"/>
              <w:spacing w:line="222" w:lineRule="exact" w:before="0" w:after="0"/>
            </w:pPr>
            <w:hyperlink r:id="rId15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Christine de Pizan · Cent Ballades, XI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8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8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A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Gradation. </w:t>
            </w:r>
            <w:r>
              <w:rPr>
                <w:rFonts w:ascii="Arial" w:hAnsi="Arial"/>
                <w:b w:val="0"/>
                <w:i w:val="0"/>
                <w:sz w:val="22"/>
              </w:rPr>
              <w:t>Les expressions vont de l’agonie à l’enterrement.</w:t>
            </w:r>
          </w:p>
          <w:p>
            <w:pPr>
              <w:keepNext w:val="0"/>
              <w:spacing w:line="222" w:lineRule="exact" w:before="0" w:after="0"/>
            </w:pPr>
            <w:hyperlink r:id="rId16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Molière · L’Avare, IV, 7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9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9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C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Comparaison. </w:t>
            </w:r>
            <w:r>
              <w:rPr>
                <w:rFonts w:ascii="Arial" w:hAnsi="Arial"/>
                <w:b w:val="0"/>
                <w:i w:val="0"/>
                <w:sz w:val="22"/>
              </w:rPr>
              <w:t>Le mot « comme » rapproche le cœur d’un vase.</w:t>
            </w:r>
          </w:p>
          <w:p>
            <w:pPr>
              <w:keepNext w:val="0"/>
              <w:spacing w:line="222" w:lineRule="exact" w:before="0" w:after="0"/>
            </w:pPr>
            <w:hyperlink r:id="rId17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Anna de Noailles · Le Cœur innombrable, « L’Ardeur »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10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10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C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Litote. </w:t>
            </w:r>
            <w:r>
              <w:rPr>
                <w:rFonts w:ascii="Arial" w:hAnsi="Arial"/>
                <w:b w:val="0"/>
                <w:i w:val="0"/>
                <w:sz w:val="22"/>
              </w:rPr>
              <w:t>Chimène suggère son amour en niant sa haine.</w:t>
            </w:r>
          </w:p>
          <w:p>
            <w:pPr>
              <w:keepNext w:val="0"/>
              <w:spacing w:line="222" w:lineRule="exact" w:before="0" w:after="0"/>
            </w:pPr>
            <w:hyperlink r:id="rId18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Pierre Corneille · Le Cid, III, 4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11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11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B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Métaphore. </w:t>
            </w:r>
            <w:r>
              <w:rPr>
                <w:rFonts w:ascii="Arial" w:hAnsi="Arial"/>
                <w:b w:val="0"/>
                <w:i w:val="0"/>
                <w:sz w:val="22"/>
              </w:rPr>
              <w:t>La raison est assimilée à une sonnerie qui donne l’alerte.</w:t>
            </w:r>
          </w:p>
          <w:p>
            <w:pPr>
              <w:keepNext w:val="0"/>
              <w:spacing w:line="222" w:lineRule="exact" w:before="0" w:after="0"/>
            </w:pPr>
            <w:hyperlink r:id="rId19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Olympe de Gouges · Déclaration des droits de la femme et de la citoyenne, « Postambule »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12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12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A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Allitération. </w:t>
            </w:r>
            <w:r>
              <w:rPr>
                <w:rFonts w:ascii="Arial" w:hAnsi="Arial"/>
                <w:b w:val="0"/>
                <w:i w:val="0"/>
                <w:sz w:val="22"/>
              </w:rPr>
              <w:t>Le son [s] se répète et rappelle le sifflement.</w:t>
            </w:r>
          </w:p>
          <w:p>
            <w:pPr>
              <w:keepNext w:val="0"/>
              <w:spacing w:line="222" w:lineRule="exact" w:before="0" w:after="0"/>
            </w:pPr>
            <w:hyperlink r:id="rId20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Jean Racine · Andromaque, V, 5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13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13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B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Comparaison. </w:t>
            </w:r>
            <w:r>
              <w:rPr>
                <w:rFonts w:ascii="Arial" w:hAnsi="Arial"/>
                <w:b w:val="0"/>
                <w:i w:val="0"/>
                <w:sz w:val="22"/>
              </w:rPr>
              <w:t>« Comme » rapproche les branches de grands bras.</w:t>
            </w:r>
          </w:p>
          <w:p>
            <w:pPr>
              <w:keepNext w:val="0"/>
              <w:spacing w:line="222" w:lineRule="exact" w:before="0" w:after="0"/>
            </w:pPr>
            <w:hyperlink r:id="rId21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George Sand · La Mare au diable, chap. X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14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14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C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Hyperbole. </w:t>
            </w:r>
            <w:r>
              <w:rPr>
                <w:rFonts w:ascii="Arial" w:hAnsi="Arial"/>
                <w:b w:val="0"/>
                <w:i w:val="0"/>
                <w:sz w:val="22"/>
              </w:rPr>
              <w:t>L’absence d’un être donne l’impression que tout est vide.</w:t>
            </w:r>
          </w:p>
          <w:p>
            <w:pPr>
              <w:keepNext w:val="0"/>
              <w:spacing w:line="222" w:lineRule="exact" w:before="0" w:after="0"/>
            </w:pPr>
            <w:hyperlink r:id="rId22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Alphonse de Lamartine · Méditations poétiques, « L’Isolement »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15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15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A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Hyperbole. </w:t>
            </w:r>
            <w:r>
              <w:rPr>
                <w:rFonts w:ascii="Arial" w:hAnsi="Arial"/>
                <w:b w:val="0"/>
                <w:i w:val="0"/>
                <w:sz w:val="22"/>
              </w:rPr>
              <w:t>Florine est présentée comme une beauté extraordinaire.</w:t>
            </w:r>
          </w:p>
          <w:p>
            <w:pPr>
              <w:keepNext w:val="0"/>
              <w:spacing w:line="222" w:lineRule="exact" w:before="0" w:after="0"/>
            </w:pPr>
            <w:hyperlink r:id="rId23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Mme d’Aulnoy · Les Contes des fées, « L’Oiseau bleu »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16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16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B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Énumération. </w:t>
            </w:r>
            <w:r>
              <w:rPr>
                <w:rFonts w:ascii="Arial" w:hAnsi="Arial"/>
                <w:b w:val="0"/>
                <w:i w:val="0"/>
                <w:sz w:val="22"/>
              </w:rPr>
              <w:t>Quatre instruments de musique et des canons sont cités.</w:t>
            </w:r>
          </w:p>
          <w:p>
            <w:pPr>
              <w:keepNext w:val="0"/>
              <w:spacing w:line="222" w:lineRule="exact" w:before="0" w:after="0"/>
            </w:pPr>
            <w:hyperlink r:id="rId24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Voltaire · Candide, chap. III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17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17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C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Personnification. </w:t>
            </w:r>
            <w:r>
              <w:rPr>
                <w:rFonts w:ascii="Arial" w:hAnsi="Arial"/>
                <w:b w:val="0"/>
                <w:i w:val="0"/>
                <w:sz w:val="22"/>
              </w:rPr>
              <w:t>L’instrument s’éveille et paraît éprouver de la tristesse.</w:t>
            </w:r>
          </w:p>
          <w:p>
            <w:pPr>
              <w:keepNext w:val="0"/>
              <w:spacing w:line="222" w:lineRule="exact" w:before="0" w:after="0"/>
            </w:pPr>
            <w:hyperlink r:id="rId25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Marceline Desbordes-Valmore · Élégies, « Il fait nuit »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18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18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A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Métaphore. </w:t>
            </w:r>
            <w:r>
              <w:rPr>
                <w:rFonts w:ascii="Arial" w:hAnsi="Arial"/>
                <w:b w:val="0"/>
                <w:i w:val="0"/>
                <w:sz w:val="22"/>
              </w:rPr>
              <w:t>La lumière est assimilée à la pluie, sans outil comparatif.</w:t>
            </w:r>
          </w:p>
          <w:p>
            <w:pPr>
              <w:keepNext w:val="0"/>
              <w:spacing w:line="222" w:lineRule="exact" w:before="0" w:after="0"/>
            </w:pPr>
            <w:hyperlink r:id="rId26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Arthur Rimbaud · Poésies, « Le Dormeur du val »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19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19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B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Métonymie. </w:t>
            </w:r>
            <w:r>
              <w:rPr>
                <w:rFonts w:ascii="Arial" w:hAnsi="Arial"/>
                <w:b w:val="0"/>
                <w:i w:val="0"/>
                <w:sz w:val="22"/>
              </w:rPr>
              <w:t>La qualité « beauté » désigne ici une personne.</w:t>
            </w:r>
          </w:p>
          <w:p>
            <w:pPr>
              <w:keepNext w:val="0"/>
              <w:spacing w:line="222" w:lineRule="exact" w:before="0" w:after="0"/>
            </w:pPr>
            <w:hyperlink r:id="rId27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Mme de La Fayette · La Princesse de Clèves, première partie</w:t>
              </w:r>
            </w:hyperlink>
          </w:p>
        </w:tc>
      </w:tr>
      <w:tr>
        <w:trPr>
          <w:trHeight w:val="688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20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20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60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2"/>
              </w:rPr>
              <w:t xml:space="preserve">C    </w:t>
            </w:r>
            <w:r>
              <w:rPr>
                <w:rFonts w:ascii="Arial" w:hAnsi="Arial"/>
                <w:b/>
                <w:i w:val="0"/>
                <w:sz w:val="22"/>
              </w:rPr>
              <w:t xml:space="preserve">Antithèse. </w:t>
            </w:r>
            <w:r>
              <w:rPr>
                <w:rFonts w:ascii="Arial" w:hAnsi="Arial"/>
                <w:b w:val="0"/>
                <w:i w:val="0"/>
                <w:sz w:val="22"/>
              </w:rPr>
              <w:t>L’expression « dans les fers » s’oppose à « libre ».</w:t>
            </w:r>
          </w:p>
          <w:p>
            <w:pPr>
              <w:keepNext w:val="0"/>
              <w:spacing w:line="222" w:lineRule="exact" w:before="0" w:after="0"/>
            </w:pPr>
            <w:hyperlink r:id="rId28">
              <w:r>
                <w:rPr>
                  <w:rFonts w:ascii="Arial" w:hAnsi="Arial"/>
                  <w:b w:val="0"/>
                  <w:i/>
                  <w:color w:val="58515A"/>
                  <w:sz w:val="19"/>
                </w:rPr>
                <w:t>Jean-Jacques Rousseau · Du contrat social, I, 1</w:t>
              </w:r>
            </w:hyperlink>
          </w:p>
        </w:tc>
      </w:tr>
    </w:tbl>
    <w:sectPr w:rsidR="00FC693F" w:rsidRPr="0006063C" w:rsidSect="00034616">
      <w:pgSz w:w="11906" w:h="16838"/>
      <w:pgMar w:top="540" w:right="560" w:bottom="500" w:left="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82243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fr.wikisource.org/wiki/Page:Feug%C3%A8re_-_Les_Femmes_Po%C3%A8tes_au_XVIe_si%C3%A8cle,_1860.djvu/42" TargetMode="External"/><Relationship Id="rId10" Type="http://schemas.openxmlformats.org/officeDocument/2006/relationships/hyperlink" Target="https://fr.wikisource.org/wiki/Anthologie_des_po%C3%A8tes_fran%C3%A7ais_contemporains/Charles_Baudelaire" TargetMode="External"/><Relationship Id="rId11" Type="http://schemas.openxmlformats.org/officeDocument/2006/relationships/hyperlink" Target="https://fr.wikisource.org/wiki/%C3%89tudes_et_Pr%C3%A9ludes_(1901)/%C2%AB_Ta_voix_est_un_savant_po%C3%A8me_%C2%BB" TargetMode="External"/><Relationship Id="rId12" Type="http://schemas.openxmlformats.org/officeDocument/2006/relationships/hyperlink" Target="https://fr.wikisource.org/wiki/Fables_de_La_Fontaine_(%C3%A9d._1874)/Le_Ch%C3%AAne_et_le_Roseau" TargetMode="External"/><Relationship Id="rId13" Type="http://schemas.openxmlformats.org/officeDocument/2006/relationships/hyperlink" Target="https://fr.wikisource.org/wiki/Lettre_121,_1670_(S%C3%A9vign%C3%A9)" TargetMode="External"/><Relationship Id="rId14" Type="http://schemas.openxmlformats.org/officeDocument/2006/relationships/hyperlink" Target="https://fr.wikisource.org/wiki/Les_Chim%C3%A8res/El_Desdichado" TargetMode="External"/><Relationship Id="rId15" Type="http://schemas.openxmlformats.org/officeDocument/2006/relationships/hyperlink" Target="https://fr.wikisource.org/wiki/Cent_Ballades_(Christine_de_Pisan)/Ballade_XI" TargetMode="External"/><Relationship Id="rId16" Type="http://schemas.openxmlformats.org/officeDocument/2006/relationships/hyperlink" Target="https://fr.wikisource.org/wiki/Page:Moli%C3%A8re_-_L%E2%80%99Avare_1669.djvu/138" TargetMode="External"/><Relationship Id="rId17" Type="http://schemas.openxmlformats.org/officeDocument/2006/relationships/hyperlink" Target="https://fr.wikisource.org/wiki/Le_C%C5%93ur_innombrable/L%E2%80%99Ardeur" TargetMode="External"/><Relationship Id="rId18" Type="http://schemas.openxmlformats.org/officeDocument/2006/relationships/hyperlink" Target="https://fr.wikisource.org/wiki/Page:Corneille,_Pierre_-_%C5%92uvres,_Marty-Laveaux,_1862,_tome_3.djvu/170" TargetMode="External"/><Relationship Id="rId19" Type="http://schemas.openxmlformats.org/officeDocument/2006/relationships/hyperlink" Target="https://fr.wikisource.org/wiki/Les_Droits_de_la_femme._%C3%80_la_reine" TargetMode="External"/><Relationship Id="rId20" Type="http://schemas.openxmlformats.org/officeDocument/2006/relationships/hyperlink" Target="https://fr.wikisource.org/wiki/Page:Racine_-_%C5%92uvres,_t2,_%C3%A9d._Mesnard,_1865.djvu/136" TargetMode="External"/><Relationship Id="rId21" Type="http://schemas.openxmlformats.org/officeDocument/2006/relationships/hyperlink" Target="https://fr.wikisource.org/wiki/La_Mare_au_diable/10" TargetMode="External"/><Relationship Id="rId22" Type="http://schemas.openxmlformats.org/officeDocument/2006/relationships/hyperlink" Target="https://fr.wikisource.org/wiki/Page:Lamartine_-_%C5%92uvres_compl%C3%A8tes_de_Lamartine,_tome_1.djvu/74" TargetMode="External"/><Relationship Id="rId23" Type="http://schemas.openxmlformats.org/officeDocument/2006/relationships/hyperlink" Target="https://fr.wikisource.org/wiki/Les_contes_choisis_(Aulnoy)/L%E2%80%99Oiseau_Bleu" TargetMode="External"/><Relationship Id="rId24" Type="http://schemas.openxmlformats.org/officeDocument/2006/relationships/hyperlink" Target="https://fr.wikisource.org/wiki/Candide,_ou_l%E2%80%99Optimisme/Garnier_1877/Chapitre_3" TargetMode="External"/><Relationship Id="rId25" Type="http://schemas.openxmlformats.org/officeDocument/2006/relationships/hyperlink" Target="https://fr.wikisource.org/wiki/%C3%89l%C3%A9gie_:_%C2%AB_Il_fait_nuit_%C2%BB" TargetMode="External"/><Relationship Id="rId26" Type="http://schemas.openxmlformats.org/officeDocument/2006/relationships/hyperlink" Target="https://fr.wikisource.org/wiki/Po%C3%A9sies_(Rimbaud)/%C3%A9d._Vanier,_1895/Le_Dormeur_du_val" TargetMode="External"/><Relationship Id="rId27" Type="http://schemas.openxmlformats.org/officeDocument/2006/relationships/hyperlink" Target="https://fr.wikisource.org/wiki/Page:La_Fayette_-_La_Princesse_de_Cl%C3%A8ves_-_tome_1.djvu/40" TargetMode="External"/><Relationship Id="rId28" Type="http://schemas.openxmlformats.org/officeDocument/2006/relationships/hyperlink" Target="https://fr.wikisource.org/wiki/Du_contrat_social_(%C3%89dition_Beaulavon_1903)/Livre_I-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Corrigé sur les figures de style</dc:title>
  <dc:subject>Évaluation de grammaire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