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10780"/>
        <w:jc w:val="center"/>
        <w:tblLayout w:type="fixed"/>
        <w:tblLook w:firstColumn="1" w:firstRow="1" w:lastColumn="0" w:lastRow="0" w:noHBand="0" w:noVBand="1" w:val="04A0"/>
      </w:tblPr>
      <w:tblGrid>
        <w:gridCol w:w="520"/>
        <w:gridCol w:w="480"/>
        <w:gridCol w:w="400"/>
        <w:gridCol w:w="580"/>
        <w:gridCol w:w="8800"/>
      </w:tblGrid>
      <w:tr>
        <w:trPr>
          <w:trHeight w:val="440" w:hRule="exact"/>
          <w:cantSplit/>
        </w:trPr>
        <w:tc>
          <w:tcPr>
            <w:tcW w:type="dxa" w:w="1000"/>
            <w:gridSpan w:val="2"/>
            <w:tcBorders>
              <w:top w:val="nil"/>
              <w:left w:val="dashed" w:sz="6" w:color="887983" w:space="0"/>
              <w:bottom w:val="nil"/>
              <w:right w:val="dashed" w:sz="6" w:color="887983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  <w:tc>
          <w:tcPr>
            <w:tcW w:type="dxa" w:w="9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340" w:type="dxa"/>
              <w:right w:w="100" w:type="dxa"/>
            </w:tcMar>
            <w:vAlign w:val="center"/>
          </w:tcPr>
          <w:p/>
        </w:tc>
      </w:tr>
      <w:tr>
        <w:trPr>
          <w:trHeight w:val="680" w:hRule="exact"/>
          <w:cantSplit/>
        </w:trPr>
        <w:tc>
          <w:tcPr>
            <w:tcW w:type="dxa" w:w="1000"/>
            <w:gridSpan w:val="2"/>
            <w:tcBorders>
              <w:top w:val="nil"/>
              <w:left w:val="dashed" w:sz="6" w:color="887983" w:space="0"/>
              <w:bottom w:val="nil"/>
              <w:right w:val="dashed" w:sz="6" w:color="887983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  <w:tc>
          <w:tcPr>
            <w:tcW w:type="dxa" w:w="9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340" w:type="dxa"/>
              <w:right w:w="100" w:type="dxa"/>
            </w:tcMar>
            <w:vAlign w:val="center"/>
          </w:tcPr>
          <w:p>
            <w:pPr>
              <w:pStyle w:val="Title"/>
              <w:keepNext w:val="0"/>
              <w:keepLines/>
              <w:spacing w:before="0" w:after="0" w:line="54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44"/>
              </w:rPr>
              <w:t>Corrigé sur la phrase et les propositions</w:t>
            </w:r>
          </w:p>
        </w:tc>
      </w:tr>
      <w:tr>
        <w:trPr>
          <w:trHeight w:val="680" w:hRule="exact"/>
          <w:cantSplit/>
        </w:trPr>
        <w:tc>
          <w:tcPr>
            <w:tcW w:type="dxa" w:w="1000"/>
            <w:gridSpan w:val="2"/>
            <w:tcBorders>
              <w:top w:val="nil"/>
              <w:left w:val="dashed" w:sz="6" w:color="887983" w:space="0"/>
              <w:bottom w:val="nil"/>
              <w:right w:val="dashed" w:sz="6" w:color="887983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  <w:tc>
          <w:tcPr>
            <w:tcW w:type="dxa" w:w="9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340" w:type="dxa"/>
              <w:right w:w="100" w:type="dxa"/>
            </w:tcMar>
            <w:vAlign w:val="center"/>
          </w:tcPr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20 questions · 1 point par bonne réponse · Total sur 20</w:t>
            </w:r>
          </w:p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Réponse fausse, absente ou multiple = 0 point.</w:t>
            </w:r>
          </w:p>
        </w:tc>
      </w:tr>
      <w:tr>
        <w:trPr>
          <w:trHeight w:val="400" w:hRule="exact"/>
          <w:cantSplit/>
        </w:trPr>
        <w:tc>
          <w:tcPr>
            <w:tcW w:type="dxa" w:w="1000"/>
            <w:gridSpan w:val="2"/>
            <w:shd w:val="clear" w:color="auto" w:fill="F3E7EA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1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Bande</w:t>
            </w:r>
          </w:p>
        </w:tc>
        <w:tc>
          <w:tcPr>
            <w:tcW w:type="dxa" w:w="400"/>
          </w:tcPr>
          <w:p/>
        </w:tc>
        <w:tc>
          <w:tcPr>
            <w:tcW w:type="dxa" w:w="9380"/>
            <w:gridSpan w:val="2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Réponses attendues</w:t>
            </w:r>
          </w:p>
        </w:tc>
      </w:tr>
      <w:tr>
        <w:trPr>
          <w:trHeight w:val="360" w:hRule="exact"/>
          <w:cantSplit/>
        </w:trPr>
        <w:tc>
          <w:tcPr>
            <w:tcW w:type="dxa" w:w="1000"/>
            <w:gridSpan w:val="2"/>
            <w:shd w:val="clear" w:color="auto" w:fill="FAF4F5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67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0"/>
              </w:rPr>
              <w:t>/6</w:t>
            </w:r>
          </w:p>
        </w:tc>
        <w:tc>
          <w:tcPr>
            <w:tcW w:type="dxa" w:w="400"/>
          </w:tcPr>
          <w:p/>
        </w:tc>
        <w:tc>
          <w:tcPr>
            <w:tcW w:type="dxa" w:w="93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1. Distinguer la phrase simple et la phrase complexe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A hissé » réunit l’auxiliaire « a » et le participe passé « hissé ».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2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2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Il n’y a qu’une proposition. Seul « aime » est conjugué.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3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3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A retenti » et « est sorti » sont les deux verbes conjugués de la phrase.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4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4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Brille » est le seul verbe conjugué. La phrase est donc simple.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5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5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Trois propositions s’organisent autour de « fraîchit », « monte » et « pleut ».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6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6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Veut » et « arrive » sont conjugués. « Savoir » est à l’infinitif.</w:t>
            </w:r>
          </w:p>
        </w:tc>
      </w:tr>
      <w:tr>
        <w:trPr>
          <w:trHeight w:val="360" w:hRule="exact"/>
          <w:cantSplit/>
        </w:trPr>
        <w:tc>
          <w:tcPr>
            <w:tcW w:type="dxa" w:w="1000"/>
            <w:gridSpan w:val="2"/>
            <w:shd w:val="clear" w:color="auto" w:fill="FAF4F5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67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0"/>
              </w:rPr>
              <w:t>/6</w:t>
            </w:r>
          </w:p>
        </w:tc>
        <w:tc>
          <w:tcPr>
            <w:tcW w:type="dxa" w:w="400"/>
          </w:tcPr>
          <w:p/>
        </w:tc>
        <w:tc>
          <w:tcPr>
            <w:tcW w:type="dxa" w:w="93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2. Identifier les liens entre les propositions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7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7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La virgule suffit à relier les deux propositions. C’est une juxtaposition.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8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8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La conjonction « et » coordonne les deux propositions.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9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9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La proposition « que la pluie cesse » dépend de « Je crois ».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10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10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Le deux-points marque la juxtaposition des propositions.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11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11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La conjonction « car » coordonne les deux propositions.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12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12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La proposition introduite par « quand » dépend de la principale.</w:t>
            </w:r>
          </w:p>
        </w:tc>
      </w:tr>
      <w:tr>
        <w:trPr>
          <w:trHeight w:val="360" w:hRule="exact"/>
          <w:cantSplit/>
        </w:trPr>
        <w:tc>
          <w:tcPr>
            <w:tcW w:type="dxa" w:w="1000"/>
            <w:gridSpan w:val="2"/>
            <w:shd w:val="clear" w:color="auto" w:fill="FAF4F5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67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0"/>
              </w:rPr>
              <w:t>/8</w:t>
            </w:r>
          </w:p>
        </w:tc>
        <w:tc>
          <w:tcPr>
            <w:tcW w:type="dxa" w:w="400"/>
          </w:tcPr>
          <w:p/>
        </w:tc>
        <w:tc>
          <w:tcPr>
            <w:tcW w:type="dxa" w:w="93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3. Analyser les propositions en contexte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13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13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Qui passe » est une relative qui précise le nom « bateau ».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14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14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Que la brume monte » est une complétive du verbe « voit ».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15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15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Parce qu’il pleut » donne la cause du retour de Nora.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16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16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Nora ouvre la grille » est la principale dont dépend la subordonnée.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17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17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La subordonnée relative précise de quelle lampe il est question.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18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18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La complétive indique le contenu de l’annonce. Elle complète « annonce ».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19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19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Le vent siffle » est une indépendante coordonnée par « et ».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20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20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« Dès que le vent faiblira » situe la sortie de Nora dans le temps.</w:t>
            </w:r>
          </w:p>
        </w:tc>
      </w:tr>
    </w:tbl>
    <w:sectPr w:rsidR="00FC693F" w:rsidRPr="0006063C" w:rsidSect="00034616">
      <w:pgSz w:w="11906" w:h="16838"/>
      <w:pgMar w:top="540" w:right="560" w:bottom="500" w:left="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82243D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Corrigé sur la phrase et les propositions</dc:title>
  <dc:subject>Évaluation de grammaire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